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7F" w:rsidRDefault="00B94A7F" w:rsidP="00B9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20285540"/>
      <w:r w:rsidRPr="00CE26D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B0E3A" wp14:editId="0ADD6CC3">
            <wp:extent cx="2271811" cy="8606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76" cy="88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1934E9" w:rsidTr="00413B96">
        <w:tc>
          <w:tcPr>
            <w:tcW w:w="5240" w:type="dxa"/>
          </w:tcPr>
          <w:p w:rsidR="001934E9" w:rsidRDefault="001934E9" w:rsidP="006A65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директоров 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«Водоканал»</w:t>
            </w:r>
          </w:p>
          <w:p w:rsidR="001934E9" w:rsidRDefault="00413B96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 </w:t>
            </w:r>
          </w:p>
        </w:tc>
      </w:tr>
    </w:tbl>
    <w:p w:rsidR="001934E9" w:rsidRDefault="001934E9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413B96" w:rsidRPr="00461486" w:rsidRDefault="00413B96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515C65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>ПОЛОЖЕНИ</w:t>
      </w:r>
      <w:r w:rsidR="00127798" w:rsidRPr="000B60EC">
        <w:rPr>
          <w:rFonts w:ascii="Times New Roman" w:hAnsi="Times New Roman" w:cs="Times New Roman"/>
          <w:b/>
          <w:sz w:val="32"/>
          <w:szCs w:val="32"/>
        </w:rPr>
        <w:t>Е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о системе ключевых показателей эффективности деятельности 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Акционерного </w:t>
      </w:r>
      <w:r w:rsidR="008162FE" w:rsidRPr="000B60EC">
        <w:rPr>
          <w:rFonts w:ascii="Times New Roman" w:hAnsi="Times New Roman" w:cs="Times New Roman"/>
          <w:b/>
          <w:sz w:val="32"/>
          <w:szCs w:val="32"/>
        </w:rPr>
        <w:t>общества «Водоканал»</w:t>
      </w:r>
    </w:p>
    <w:p w:rsidR="00B94A7F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7F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7F">
        <w:rPr>
          <w:rFonts w:ascii="Times New Roman" w:hAnsi="Times New Roman" w:cs="Times New Roman"/>
          <w:sz w:val="24"/>
          <w:szCs w:val="24"/>
        </w:rPr>
        <w:t>(с изменениями,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ыми решением Совета директоров </w:t>
      </w:r>
      <w:r w:rsidRPr="00B94A7F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 xml:space="preserve">Водоканал» </w:t>
      </w:r>
    </w:p>
    <w:p w:rsidR="008162FE" w:rsidRPr="00461486" w:rsidRDefault="00B94A7F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от 14.02.2020 № 132</w:t>
      </w:r>
      <w:r w:rsidR="0006288E">
        <w:rPr>
          <w:rFonts w:ascii="Times New Roman" w:hAnsi="Times New Roman" w:cs="Times New Roman"/>
          <w:sz w:val="24"/>
          <w:szCs w:val="24"/>
        </w:rPr>
        <w:t>)</w:t>
      </w: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8E" w:rsidRDefault="0006288E" w:rsidP="000B60E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201</w:t>
      </w:r>
      <w:r w:rsidR="00DB250B">
        <w:rPr>
          <w:rFonts w:ascii="Times New Roman" w:hAnsi="Times New Roman" w:cs="Times New Roman"/>
          <w:sz w:val="24"/>
          <w:szCs w:val="24"/>
        </w:rPr>
        <w:t>9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CD34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1934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1934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4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показателей эффективности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_Toc508095694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1934E9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754E76">
              <w:rPr>
                <w:rFonts w:ascii="Times New Roman" w:hAnsi="Times New Roman" w:cs="Times New Roman"/>
                <w:noProof/>
                <w:webHidden/>
              </w:rPr>
              <w:t>……………………………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3.1. Ключевые показатели эффективности</w:t>
          </w:r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Стратегические……………………………………………………………………………………………4  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…..</w:t>
          </w:r>
          <w:r w:rsidRPr="00461486">
            <w:rPr>
              <w:rFonts w:ascii="Times New Roman" w:hAnsi="Times New Roman" w:cs="Times New Roman"/>
            </w:rPr>
            <w:t>….</w:t>
          </w:r>
          <w:r w:rsidR="00A63E58">
            <w:rPr>
              <w:rFonts w:ascii="Times New Roman" w:hAnsi="Times New Roman" w:cs="Times New Roman"/>
            </w:rPr>
            <w:t>.5</w:t>
          </w:r>
        </w:p>
        <w:p w:rsidR="00364404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Отраслевые показатели ……………………………………………………………………………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…….</w:t>
          </w:r>
          <w:r w:rsidR="00754E7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>5</w:t>
          </w:r>
        </w:p>
        <w:p w:rsidR="00A63E58" w:rsidRPr="00461486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3.2. Показатели депремирования…………………………………………………………………………7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1934E9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……………………….…………...…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75F07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_Toc508095696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КПЭ……………………………………………………….</w:t>
          </w:r>
          <w:r w:rsidRPr="00461486">
            <w:rPr>
              <w:rFonts w:ascii="Times New Roman" w:hAnsi="Times New Roman" w:cs="Times New Roman"/>
            </w:rPr>
            <w:t>………</w:t>
          </w:r>
          <w:r w:rsidR="00075F07" w:rsidRPr="00461486">
            <w:rPr>
              <w:rFonts w:ascii="Times New Roman" w:hAnsi="Times New Roman" w:cs="Times New Roman"/>
            </w:rPr>
            <w:t>………………………13</w:t>
          </w:r>
        </w:p>
        <w:p w:rsidR="009578C9" w:rsidRPr="00461486" w:rsidRDefault="001934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</w:t>
          </w:r>
          <w:r w:rsidR="00A63E58">
            <w:t>6</w:t>
          </w:r>
        </w:p>
        <w:p w:rsidR="009578C9" w:rsidRPr="00461486" w:rsidRDefault="001934E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эффективности…………….</w:t>
          </w:r>
          <w:r w:rsidR="008D2D75" w:rsidRPr="00461486">
            <w:rPr>
              <w:rFonts w:ascii="Times New Roman" w:hAnsi="Times New Roman" w:cs="Times New Roman"/>
            </w:rPr>
            <w:t>1</w:t>
          </w:r>
          <w:r w:rsidR="00A63E58">
            <w:rPr>
              <w:rFonts w:ascii="Times New Roman" w:hAnsi="Times New Roman" w:cs="Times New Roman"/>
            </w:rPr>
            <w:t>7</w:t>
          </w:r>
        </w:p>
        <w:p w:rsidR="00A2629F" w:rsidRPr="00461486" w:rsidRDefault="001934E9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60E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"Водоканал"………………………………..…..………………….</w:t>
          </w:r>
          <w:r w:rsidR="00A63E58">
            <w:rPr>
              <w:rFonts w:ascii="Times New Roman" w:hAnsi="Times New Roman" w:cs="Times New Roman"/>
            </w:rPr>
            <w:t>18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9578C9" w:rsidRPr="00461486" w:rsidRDefault="00F13273" w:rsidP="00D04B8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9</w:t>
          </w:r>
          <w:r w:rsidR="00ED033E" w:rsidRPr="00461486">
            <w:rPr>
              <w:rFonts w:ascii="Times New Roman" w:hAnsi="Times New Roman" w:cs="Times New Roman"/>
            </w:rPr>
            <w:t>. Депремирование……………………………………………………………………………………...</w:t>
          </w:r>
          <w:r w:rsidR="009009F7" w:rsidRPr="00461486">
            <w:rPr>
              <w:rFonts w:ascii="Times New Roman" w:hAnsi="Times New Roman" w:cs="Times New Roman"/>
            </w:rPr>
            <w:t>..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384B4D" w:rsidRPr="00461486" w:rsidRDefault="00384B4D" w:rsidP="00D04B87">
          <w:pPr>
            <w:spacing w:line="360" w:lineRule="auto"/>
            <w:contextualSpacing/>
            <w:rPr>
              <w:noProof/>
            </w:rPr>
          </w:pPr>
          <w:r w:rsidRPr="00461486">
            <w:rPr>
              <w:rFonts w:ascii="Times New Roman" w:hAnsi="Times New Roman" w:cs="Times New Roman"/>
            </w:rPr>
            <w:t>10.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жения……………………………………………………………………...</w:t>
          </w:r>
          <w:r w:rsidRPr="00461486">
            <w:rPr>
              <w:rFonts w:ascii="Times New Roman" w:hAnsi="Times New Roman" w:cs="Times New Roman"/>
            </w:rPr>
            <w:t>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EC5F0C" w:rsidRPr="00461486" w:rsidRDefault="00CD3499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8095692"/>
    </w:p>
    <w:p w:rsidR="004F16E8" w:rsidRPr="00461486" w:rsidRDefault="004F16E8" w:rsidP="004F16E8"/>
    <w:p w:rsidR="004F16E8" w:rsidRPr="00461486" w:rsidRDefault="004F16E8" w:rsidP="004F16E8"/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D33A86" w:rsidRPr="00461486" w:rsidRDefault="008162FE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End w:id="2"/>
    </w:p>
    <w:p w:rsidR="008162FE" w:rsidRPr="00461486" w:rsidRDefault="008162FE" w:rsidP="00CA4E9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7326">
        <w:rPr>
          <w:rFonts w:ascii="Times New Roman" w:hAnsi="Times New Roman" w:cs="Times New Roman"/>
          <w:sz w:val="24"/>
          <w:szCs w:val="24"/>
        </w:rPr>
        <w:t xml:space="preserve"> и в соответствии с методическими указаниями по применению ключевых показателей эффективности государственными и унитарными предприятиями, хозяйственными обществами, в уставном капитале которых доля Республики Саха (Якутия) превышает пятьдесят процентов утвержденный Приказом Мини</w:t>
      </w:r>
      <w:r w:rsidR="00BF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326">
        <w:rPr>
          <w:rFonts w:ascii="Times New Roman" w:hAnsi="Times New Roman" w:cs="Times New Roman"/>
          <w:sz w:val="24"/>
          <w:szCs w:val="24"/>
        </w:rPr>
        <w:t>мущества</w:t>
      </w:r>
      <w:proofErr w:type="spellEnd"/>
      <w:r w:rsidR="00937326">
        <w:rPr>
          <w:rFonts w:ascii="Times New Roman" w:hAnsi="Times New Roman" w:cs="Times New Roman"/>
          <w:sz w:val="24"/>
          <w:szCs w:val="24"/>
        </w:rPr>
        <w:t xml:space="preserve"> РС (Я) №П-05-88, Минэкономики РС (Я) № 122-ОД от 03.06.2019 года. </w:t>
      </w:r>
      <w:r w:rsidR="009373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FC" w:rsidRDefault="00262306" w:rsidP="00CA4E9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Устанавлива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основы системы ключевых показателей эффективности, определяют ее цели, задачи и предъявляемые к ней требования.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перечень основных ключевых показателей эффективности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для предприятия, </w:t>
      </w:r>
      <w:r w:rsidRPr="003849C5">
        <w:rPr>
          <w:rFonts w:ascii="Times New Roman" w:hAnsi="Times New Roman" w:cs="Times New Roman"/>
          <w:sz w:val="24"/>
          <w:szCs w:val="24"/>
        </w:rPr>
        <w:t>с учетом сегментации, а также особенности применения ключевых показателей эффективности.</w:t>
      </w:r>
    </w:p>
    <w:p w:rsidR="00A37D25" w:rsidRPr="003849C5" w:rsidRDefault="00A37D25" w:rsidP="00A37D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874AB5" w:rsidRP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 xml:space="preserve">т 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849C5">
        <w:rPr>
          <w:rFonts w:ascii="Times New Roman" w:hAnsi="Times New Roman" w:cs="Times New Roman"/>
          <w:sz w:val="24"/>
          <w:szCs w:val="24"/>
        </w:rPr>
        <w:t xml:space="preserve">утверждения ключевых показателей эффективности, </w:t>
      </w:r>
      <w:r w:rsidR="00874AB5" w:rsidRPr="003849C5">
        <w:rPr>
          <w:rFonts w:ascii="Times New Roman" w:hAnsi="Times New Roman" w:cs="Times New Roman"/>
          <w:sz w:val="24"/>
          <w:szCs w:val="24"/>
        </w:rPr>
        <w:t>порядок</w:t>
      </w:r>
      <w:r w:rsidRPr="003849C5">
        <w:rPr>
          <w:rFonts w:ascii="Times New Roman" w:hAnsi="Times New Roman" w:cs="Times New Roman"/>
          <w:sz w:val="24"/>
          <w:szCs w:val="24"/>
        </w:rPr>
        <w:t xml:space="preserve"> мониторинга и контроля за исполнением ключевых показателей эффективности, а также основные положения о взаимосвязи ключевых показателей эффективности с мотивацией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</w:t>
      </w:r>
      <w:r w:rsidR="003849C5">
        <w:rPr>
          <w:rFonts w:ascii="Times New Roman" w:hAnsi="Times New Roman" w:cs="Times New Roman"/>
          <w:sz w:val="24"/>
          <w:szCs w:val="24"/>
        </w:rPr>
        <w:t>менеджмента Общества</w:t>
      </w:r>
      <w:r w:rsidRPr="003849C5">
        <w:rPr>
          <w:rFonts w:ascii="Times New Roman" w:hAnsi="Times New Roman" w:cs="Times New Roman"/>
          <w:sz w:val="24"/>
          <w:szCs w:val="24"/>
        </w:rPr>
        <w:t>.</w:t>
      </w:r>
    </w:p>
    <w:p w:rsidR="00080472" w:rsidRPr="00461486" w:rsidRDefault="00080472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3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8095694"/>
      <w:r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4"/>
    </w:p>
    <w:p w:rsidR="00937326" w:rsidRPr="006D164D" w:rsidRDefault="009F75CC" w:rsidP="00D70E7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37326" w:rsidRPr="00461486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937326" w:rsidRPr="006D164D">
        <w:rPr>
          <w:rFonts w:ascii="Times New Roman" w:hAnsi="Times New Roman" w:cs="Times New Roman"/>
        </w:rPr>
        <w:t xml:space="preserve">Система ключевых показателей эффективности (система КПЭ) - совокупность взаимосвязанных индивидуальных численных показателей, сформированных на основе стратегии развития </w:t>
      </w:r>
      <w:r w:rsidR="00937326">
        <w:rPr>
          <w:rFonts w:ascii="Times New Roman" w:hAnsi="Times New Roman" w:cs="Times New Roman"/>
        </w:rPr>
        <w:t>Общества</w:t>
      </w:r>
      <w:r w:rsidR="00937326" w:rsidRPr="006D164D">
        <w:rPr>
          <w:rFonts w:ascii="Times New Roman" w:hAnsi="Times New Roman" w:cs="Times New Roman"/>
        </w:rPr>
        <w:t xml:space="preserve">, с помощью которых оценивается эффективность деятельности менеджмента </w:t>
      </w:r>
      <w:r w:rsidR="00937326">
        <w:rPr>
          <w:rFonts w:ascii="Times New Roman" w:hAnsi="Times New Roman" w:cs="Times New Roman"/>
        </w:rPr>
        <w:t>предприятия.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2.2. Цели внедрения системы ключевых показателей оценки эффективности: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70">
        <w:rPr>
          <w:rFonts w:ascii="Times New Roman" w:hAnsi="Times New Roman" w:cs="Times New Roman"/>
          <w:sz w:val="24"/>
          <w:szCs w:val="24"/>
        </w:rPr>
        <w:t>Основной целью внедрения КПЭ</w:t>
      </w:r>
      <w:r w:rsidRPr="007A016C">
        <w:rPr>
          <w:rFonts w:ascii="Times New Roman" w:hAnsi="Times New Roman" w:cs="Times New Roman"/>
          <w:sz w:val="24"/>
          <w:szCs w:val="24"/>
        </w:rPr>
        <w:t xml:space="preserve"> является перевод стратегии </w:t>
      </w:r>
      <w:r w:rsidR="003849C5">
        <w:rPr>
          <w:rFonts w:ascii="Times New Roman" w:hAnsi="Times New Roman" w:cs="Times New Roman"/>
          <w:sz w:val="24"/>
          <w:szCs w:val="24"/>
        </w:rPr>
        <w:t xml:space="preserve">развития АО «Водоканал» на 2019-2032 годы </w:t>
      </w:r>
      <w:r w:rsidRPr="007A016C">
        <w:rPr>
          <w:rFonts w:ascii="Times New Roman" w:hAnsi="Times New Roman" w:cs="Times New Roman"/>
          <w:sz w:val="24"/>
          <w:szCs w:val="24"/>
        </w:rPr>
        <w:t>в форму конкретных показателей оперативного управления,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937326" w:rsidRDefault="00937326" w:rsidP="003501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2.3. Задачи системы ключевых показателей эффективности: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2.3.1. Оценка достижения стратегических целей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2.3.2. Мониторинг и контроль реализации стратегии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2.3.3. Создание должной мотивации менеджмента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 xml:space="preserve"> с учетом ориентации сотрудников на достижение приоритетных целей </w:t>
      </w:r>
      <w:r w:rsidR="003849C5"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.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 Основными задачами для Общества в рамках разработки и внедрения системы КПЭ являются следующие: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2.4.1. Разработка перечня КПЭ в соответствии со стратегическими целями, определенными в стратегии развития </w:t>
      </w:r>
      <w:r w:rsidR="003849C5">
        <w:rPr>
          <w:rFonts w:ascii="Times New Roman" w:hAnsi="Times New Roman" w:cs="Times New Roman"/>
          <w:sz w:val="24"/>
          <w:szCs w:val="24"/>
        </w:rPr>
        <w:t>АО «Водоканал» на 2019-2032 годы</w:t>
      </w:r>
      <w:r w:rsidRPr="00E80112">
        <w:rPr>
          <w:rFonts w:ascii="Times New Roman" w:hAnsi="Times New Roman" w:cs="Times New Roman"/>
          <w:sz w:val="24"/>
          <w:szCs w:val="24"/>
        </w:rPr>
        <w:t>, а также методики расчета их значений;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2.4.2. Разработка механизма установления целевых значений КПЭ;</w:t>
      </w:r>
    </w:p>
    <w:p w:rsidR="00937326" w:rsidRPr="00E80112" w:rsidRDefault="00937326" w:rsidP="000210C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lastRenderedPageBreak/>
        <w:t>2.4.3. Разработка процедур, обеспечивающих реализацию процесса подготовки инициатив для достижения стратегических целей ("план стратегических инициатив"</w:t>
      </w:r>
      <w:r w:rsidR="000210C2">
        <w:rPr>
          <w:rFonts w:ascii="Times New Roman" w:hAnsi="Times New Roman" w:cs="Times New Roman"/>
          <w:sz w:val="24"/>
          <w:szCs w:val="24"/>
        </w:rPr>
        <w:t>*</w:t>
      </w:r>
      <w:r w:rsidRPr="00E80112">
        <w:rPr>
          <w:rFonts w:ascii="Times New Roman" w:hAnsi="Times New Roman" w:cs="Times New Roman"/>
          <w:sz w:val="24"/>
          <w:szCs w:val="24"/>
        </w:rPr>
        <w:t>);</w:t>
      </w:r>
    </w:p>
    <w:p w:rsidR="00937326" w:rsidRPr="00E80112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0112">
        <w:rPr>
          <w:rFonts w:ascii="Times New Roman" w:hAnsi="Times New Roman" w:cs="Times New Roman"/>
          <w:sz w:val="24"/>
          <w:szCs w:val="24"/>
        </w:rPr>
        <w:t>4. Разработка матрицы полномочий и ответственности за реализацию КПЭ на уровне структурных подразделений и должностных лиц;</w:t>
      </w:r>
    </w:p>
    <w:p w:rsidR="00937326" w:rsidRPr="00E80112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0112">
        <w:rPr>
          <w:rFonts w:ascii="Times New Roman" w:hAnsi="Times New Roman" w:cs="Times New Roman"/>
          <w:sz w:val="24"/>
          <w:szCs w:val="24"/>
        </w:rPr>
        <w:t>.5. Разработка процедур, обеспечивающих мониторинг фактических значений КПЭ.</w:t>
      </w:r>
    </w:p>
    <w:p w:rsidR="00937326" w:rsidRDefault="00937326" w:rsidP="00D70E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. Система ключевых показателей эффективности строится на следующих принципах:</w:t>
      </w:r>
    </w:p>
    <w:p w:rsidR="00937326" w:rsidRPr="008F3D73" w:rsidRDefault="00937326" w:rsidP="00D70E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.1. Прозрачность и измеримость КПЭ;</w:t>
      </w:r>
      <w:r w:rsidRPr="008F3D73">
        <w:rPr>
          <w:rFonts w:ascii="Times New Roman" w:hAnsi="Times New Roman" w:cs="Times New Roman"/>
          <w:sz w:val="24"/>
          <w:szCs w:val="24"/>
        </w:rPr>
        <w:tab/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.2. Минимальная достаточность КПЭ;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.3. Комплексная характеристика деятельности госкомпании;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 xml:space="preserve">.4. Наличие оперативных показателей длительности и стратегических показателей развития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F3D73">
        <w:rPr>
          <w:rFonts w:ascii="Times New Roman" w:hAnsi="Times New Roman" w:cs="Times New Roman"/>
          <w:sz w:val="24"/>
          <w:szCs w:val="24"/>
        </w:rPr>
        <w:t xml:space="preserve"> (краткосрочные и долгосрочные цели);</w:t>
      </w:r>
    </w:p>
    <w:p w:rsidR="00937326" w:rsidRPr="008F3D73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.5. Непротиворечивость показателей КПЭ;</w:t>
      </w:r>
    </w:p>
    <w:p w:rsidR="00937326" w:rsidRDefault="00937326" w:rsidP="00D70E7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.6. Ориентированность на рост финансовых и производст</w:t>
      </w:r>
      <w:r>
        <w:rPr>
          <w:rFonts w:ascii="Times New Roman" w:hAnsi="Times New Roman" w:cs="Times New Roman"/>
          <w:sz w:val="24"/>
          <w:szCs w:val="24"/>
        </w:rPr>
        <w:t>венных результатов Общества.</w:t>
      </w:r>
    </w:p>
    <w:p w:rsidR="00A0225D" w:rsidRDefault="00373747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080472" w:rsidRPr="00461486" w:rsidRDefault="00D97DE0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8095695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>Ключевые п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оказател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>и эффективности деятельности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АО «Водоканал»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"/>
    </w:p>
    <w:p w:rsidR="003C6A4F" w:rsidRDefault="00B923A3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7DE0"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D87B7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6DA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стратегией развития АО «Водоканал» на 2019-2032 годы,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B923A3" w:rsidRDefault="00B923A3" w:rsidP="00D70E70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Показатели классифицируются по характеру отражения деятельности предприятия: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C61">
        <w:rPr>
          <w:rFonts w:ascii="Times New Roman" w:hAnsi="Times New Roman" w:cs="Times New Roman"/>
          <w:sz w:val="24"/>
          <w:szCs w:val="24"/>
        </w:rPr>
        <w:t>тратегические показатели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финансово-экономические показатели;</w:t>
      </w:r>
    </w:p>
    <w:p w:rsidR="00B923A3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отраслевые показатели</w:t>
      </w:r>
    </w:p>
    <w:p w:rsidR="00D87B7C" w:rsidRDefault="00D70E70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Стратегические </w:t>
      </w:r>
      <w:r w:rsidR="00B923A3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 w:rsidR="00191091">
        <w:rPr>
          <w:rFonts w:ascii="Times New Roman" w:hAnsi="Times New Roman" w:cs="Times New Roman"/>
          <w:sz w:val="24"/>
          <w:szCs w:val="24"/>
        </w:rPr>
        <w:t>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7B7C" w:rsidRPr="00390C6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013">
        <w:rPr>
          <w:rFonts w:ascii="Times New Roman" w:hAnsi="Times New Roman" w:cs="Times New Roman"/>
          <w:sz w:val="24"/>
          <w:szCs w:val="24"/>
        </w:rPr>
        <w:t>целей и задач согласно Стратегии развития Общества</w:t>
      </w:r>
      <w:r w:rsidR="003A5FFF">
        <w:rPr>
          <w:rFonts w:ascii="Times New Roman" w:hAnsi="Times New Roman" w:cs="Times New Roman"/>
          <w:sz w:val="24"/>
          <w:szCs w:val="24"/>
        </w:rPr>
        <w:t>,</w:t>
      </w:r>
      <w:r w:rsidR="00085013">
        <w:rPr>
          <w:rFonts w:ascii="Times New Roman" w:hAnsi="Times New Roman" w:cs="Times New Roman"/>
          <w:sz w:val="24"/>
          <w:szCs w:val="24"/>
        </w:rPr>
        <w:t xml:space="preserve"> </w:t>
      </w:r>
      <w:r w:rsidR="003A5FFF">
        <w:rPr>
          <w:rFonts w:ascii="Times New Roman" w:hAnsi="Times New Roman" w:cs="Times New Roman"/>
          <w:sz w:val="24"/>
          <w:szCs w:val="24"/>
        </w:rPr>
        <w:t xml:space="preserve">по срокам реализации </w:t>
      </w:r>
      <w:r w:rsidR="00085013">
        <w:rPr>
          <w:rFonts w:ascii="Times New Roman" w:hAnsi="Times New Roman" w:cs="Times New Roman"/>
          <w:sz w:val="24"/>
          <w:szCs w:val="24"/>
        </w:rPr>
        <w:t>делятся</w:t>
      </w:r>
      <w:r w:rsidR="003A5F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D70E70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(от 1 - 3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A3" w:rsidRPr="00390C61">
        <w:rPr>
          <w:rFonts w:ascii="Times New Roman" w:hAnsi="Times New Roman" w:cs="Times New Roman"/>
          <w:sz w:val="24"/>
          <w:szCs w:val="24"/>
        </w:rPr>
        <w:t>среднесрочны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3 - 5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</w:t>
      </w:r>
      <w:r w:rsidR="00B923A3" w:rsidRPr="00390C61">
        <w:rPr>
          <w:rFonts w:ascii="Times New Roman" w:hAnsi="Times New Roman" w:cs="Times New Roman"/>
          <w:sz w:val="24"/>
          <w:szCs w:val="24"/>
        </w:rPr>
        <w:t>лгосрочны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5 - 10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8D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Финансово-экономические и производственные </w:t>
      </w:r>
      <w:r w:rsidR="00191091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191091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3A5FFF">
        <w:rPr>
          <w:rFonts w:ascii="Times New Roman" w:hAnsi="Times New Roman" w:cs="Times New Roman"/>
          <w:sz w:val="24"/>
          <w:szCs w:val="24"/>
        </w:rPr>
        <w:t>т</w:t>
      </w:r>
      <w:r w:rsidR="00F00B68">
        <w:rPr>
          <w:rFonts w:ascii="Times New Roman" w:hAnsi="Times New Roman" w:cs="Times New Roman"/>
          <w:sz w:val="24"/>
          <w:szCs w:val="24"/>
        </w:rPr>
        <w:t xml:space="preserve"> решения краткосрочных </w:t>
      </w:r>
      <w:r w:rsidR="003A5FFF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F00B6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A5FFF">
        <w:rPr>
          <w:rFonts w:ascii="Times New Roman" w:hAnsi="Times New Roman" w:cs="Times New Roman"/>
          <w:sz w:val="24"/>
          <w:szCs w:val="24"/>
        </w:rPr>
        <w:t>по срокам делятся на</w:t>
      </w:r>
      <w:r w:rsidR="008A478D">
        <w:rPr>
          <w:rFonts w:ascii="Times New Roman" w:hAnsi="Times New Roman" w:cs="Times New Roman"/>
          <w:sz w:val="24"/>
          <w:szCs w:val="24"/>
        </w:rPr>
        <w:t>:</w:t>
      </w:r>
    </w:p>
    <w:p w:rsidR="003A5FFF" w:rsidRDefault="008A478D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</w:t>
      </w:r>
      <w:r w:rsidR="003A5FFF">
        <w:rPr>
          <w:rFonts w:ascii="Times New Roman" w:hAnsi="Times New Roman" w:cs="Times New Roman"/>
          <w:sz w:val="24"/>
          <w:szCs w:val="24"/>
        </w:rPr>
        <w:t>е;</w:t>
      </w:r>
    </w:p>
    <w:p w:rsidR="003A5FFF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981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3F7E78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BBB">
        <w:rPr>
          <w:rFonts w:ascii="Times New Roman" w:hAnsi="Times New Roman" w:cs="Times New Roman"/>
          <w:sz w:val="24"/>
          <w:szCs w:val="24"/>
        </w:rPr>
        <w:t>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3BBB">
        <w:rPr>
          <w:rFonts w:ascii="Times New Roman" w:hAnsi="Times New Roman" w:cs="Times New Roman"/>
          <w:sz w:val="24"/>
          <w:szCs w:val="24"/>
        </w:rPr>
        <w:t xml:space="preserve">.  </w:t>
      </w:r>
      <w:r w:rsidR="008A4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0C2" w:rsidRPr="000210C2" w:rsidRDefault="000210C2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210C2">
        <w:t xml:space="preserve"> </w:t>
      </w:r>
      <w:r w:rsidRPr="000210C2">
        <w:rPr>
          <w:rFonts w:ascii="Times New Roman" w:hAnsi="Times New Roman" w:cs="Times New Roman"/>
          <w:i/>
          <w:sz w:val="18"/>
          <w:szCs w:val="18"/>
        </w:rPr>
        <w:t>Стратегические инициативы — это собрание независимых дополнительных проектов и программ с определенными сроками, осуществляемых вне рамок ежедневной деятельности организации, цель которых — помочь организации получить запланированные результаты</w:t>
      </w: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0A91" w:rsidRDefault="00EA1978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>лючевые показатели эффективности</w:t>
      </w:r>
    </w:p>
    <w:p w:rsidR="000F6DA1" w:rsidRDefault="000F6DA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Стратегические КПЭ:</w:t>
      </w:r>
    </w:p>
    <w:p w:rsidR="00C3329E" w:rsidRPr="00FF6C6A" w:rsidRDefault="000F6DA1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«Рост производительности труда»</w:t>
      </w:r>
      <w:r w:rsidR="00E354D8" w:rsidRPr="00FF6C6A">
        <w:rPr>
          <w:rFonts w:ascii="Times New Roman" w:hAnsi="Times New Roman" w:cs="Times New Roman"/>
          <w:b/>
          <w:sz w:val="24"/>
          <w:szCs w:val="24"/>
        </w:rPr>
        <w:t>,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C3"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i/>
          <w:sz w:val="24"/>
          <w:szCs w:val="24"/>
        </w:rPr>
        <w:t>.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 Рассчитывается путем </w:t>
      </w:r>
      <w:r w:rsidR="00992E1D" w:rsidRPr="00FF6C6A">
        <w:rPr>
          <w:rFonts w:ascii="Times New Roman" w:hAnsi="Times New Roman" w:cs="Times New Roman"/>
          <w:sz w:val="24"/>
          <w:szCs w:val="24"/>
        </w:rPr>
        <w:t>со</w:t>
      </w:r>
      <w:r w:rsidR="00FC52C3" w:rsidRPr="00FF6C6A">
        <w:rPr>
          <w:rFonts w:ascii="Times New Roman" w:hAnsi="Times New Roman" w:cs="Times New Roman"/>
          <w:sz w:val="24"/>
          <w:szCs w:val="24"/>
        </w:rPr>
        <w:t>отношения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5A1215">
        <w:rPr>
          <w:rFonts w:ascii="Times New Roman" w:hAnsi="Times New Roman" w:cs="Times New Roman"/>
          <w:sz w:val="24"/>
          <w:szCs w:val="24"/>
        </w:rPr>
        <w:t>отчетного периода к факту аналогичного периода прошлого года</w:t>
      </w:r>
      <w:r w:rsidR="00992E1D" w:rsidRPr="000210C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5A1215">
        <w:rPr>
          <w:rFonts w:ascii="Times New Roman" w:hAnsi="Times New Roman" w:cs="Times New Roman"/>
          <w:sz w:val="24"/>
          <w:szCs w:val="24"/>
        </w:rPr>
        <w:t>О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тношение </w:t>
      </w:r>
      <w:r w:rsidR="002F2B4F" w:rsidRPr="00FF6C6A">
        <w:rPr>
          <w:rFonts w:ascii="Times New Roman" w:hAnsi="Times New Roman" w:cs="Times New Roman"/>
          <w:sz w:val="24"/>
          <w:szCs w:val="24"/>
        </w:rPr>
        <w:t>суммы выручки от основной деятельности предприятия</w:t>
      </w:r>
      <w:r w:rsidR="00C32D21" w:rsidRPr="00FF6C6A">
        <w:rPr>
          <w:rFonts w:ascii="Times New Roman" w:hAnsi="Times New Roman" w:cs="Times New Roman"/>
          <w:sz w:val="24"/>
          <w:szCs w:val="24"/>
        </w:rPr>
        <w:t xml:space="preserve"> (за исключением субсидий ОКК, платы за тех. присоединение и платы за негативное воздействие на централизованные сети водоотведения)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на 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фактическую среднесписочную численность работников </w:t>
      </w:r>
      <w:r w:rsidR="00C3329E" w:rsidRPr="00FF6C6A">
        <w:rPr>
          <w:rFonts w:ascii="Times New Roman" w:hAnsi="Times New Roman" w:cs="Times New Roman"/>
          <w:sz w:val="24"/>
          <w:szCs w:val="24"/>
        </w:rPr>
        <w:t>*</w:t>
      </w:r>
      <w:r w:rsidR="002F2B4F" w:rsidRPr="00FF6C6A">
        <w:rPr>
          <w:rFonts w:ascii="Times New Roman" w:hAnsi="Times New Roman" w:cs="Times New Roman"/>
          <w:sz w:val="24"/>
          <w:szCs w:val="24"/>
        </w:rPr>
        <w:t>100</w:t>
      </w:r>
      <w:r w:rsidR="00992E1D" w:rsidRPr="005A1215">
        <w:rPr>
          <w:rFonts w:ascii="Times New Roman" w:hAnsi="Times New Roman" w:cs="Times New Roman"/>
          <w:sz w:val="24"/>
          <w:szCs w:val="24"/>
        </w:rPr>
        <w:t xml:space="preserve">. 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(Источник получения исходных данных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: в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ыручка - форма 2 бухгалтерской отчетности, численность работников – статистический отчет П4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)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.</w:t>
      </w:r>
      <w:r w:rsidR="00B12235" w:rsidRPr="005A1215">
        <w:rPr>
          <w:rFonts w:ascii="Times New Roman" w:hAnsi="Times New Roman" w:cs="Times New Roman"/>
          <w:sz w:val="24"/>
          <w:szCs w:val="24"/>
        </w:rPr>
        <w:t xml:space="preserve"> При значении больше либо равно 1 – 1, меньше 1 – 0.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Прирост количества абонентов, подключенных к централизованным </w:t>
      </w:r>
      <w:proofErr w:type="gramStart"/>
      <w:r w:rsidR="00FC52C3" w:rsidRPr="00FF6C6A">
        <w:rPr>
          <w:rFonts w:ascii="Times New Roman" w:hAnsi="Times New Roman" w:cs="Times New Roman"/>
          <w:b/>
          <w:sz w:val="24"/>
          <w:szCs w:val="24"/>
        </w:rPr>
        <w:t>сетям  водоснабжения</w:t>
      </w:r>
      <w:proofErr w:type="gramEnd"/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АО "Водоканал"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C6A">
        <w:rPr>
          <w:rFonts w:ascii="Times New Roman" w:hAnsi="Times New Roman" w:cs="Times New Roman"/>
          <w:sz w:val="24"/>
          <w:szCs w:val="24"/>
        </w:rPr>
        <w:t xml:space="preserve">Отношение количества заключенных договоров в отчетном периоде к количеству заключенных договоров за прошлый период 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(Источник получения исходных данных: 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Отчет о </w:t>
      </w:r>
      <w:r w:rsidRPr="005A1215">
        <w:rPr>
          <w:rFonts w:ascii="Times New Roman" w:hAnsi="Times New Roman" w:cs="Times New Roman"/>
          <w:i/>
          <w:sz w:val="24"/>
          <w:szCs w:val="24"/>
        </w:rPr>
        <w:t>заключенны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 договор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>а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 на холодное водоснабжение по категориям потребителей</w:t>
      </w:r>
      <w:r w:rsidRPr="005A1215">
        <w:rPr>
          <w:rFonts w:ascii="Times New Roman" w:hAnsi="Times New Roman" w:cs="Times New Roman"/>
          <w:i/>
          <w:sz w:val="24"/>
          <w:szCs w:val="24"/>
        </w:rPr>
        <w:t>).</w:t>
      </w:r>
      <w:r w:rsidRPr="005A1215">
        <w:rPr>
          <w:rFonts w:ascii="Times New Roman" w:hAnsi="Times New Roman" w:cs="Times New Roman"/>
          <w:sz w:val="24"/>
          <w:szCs w:val="24"/>
        </w:rPr>
        <w:t xml:space="preserve"> </w:t>
      </w:r>
      <w:r w:rsidR="00C3329E" w:rsidRPr="005A1215">
        <w:rPr>
          <w:rFonts w:ascii="Times New Roman" w:hAnsi="Times New Roman" w:cs="Times New Roman"/>
          <w:sz w:val="24"/>
          <w:szCs w:val="24"/>
        </w:rPr>
        <w:t>При значении больше либо равно 1 – 1, меньше 1 – 0</w:t>
      </w:r>
      <w:r w:rsidR="00C3329E" w:rsidRPr="00FF6C6A">
        <w:rPr>
          <w:rFonts w:ascii="Times New Roman" w:hAnsi="Times New Roman" w:cs="Times New Roman"/>
          <w:sz w:val="24"/>
          <w:szCs w:val="24"/>
        </w:rPr>
        <w:t>.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«Объем привлеченных инвестиций (за исключением средств г</w:t>
      </w:r>
      <w:r w:rsidR="00992E1D" w:rsidRPr="00FF6C6A">
        <w:rPr>
          <w:rFonts w:ascii="Times New Roman" w:hAnsi="Times New Roman" w:cs="Times New Roman"/>
          <w:b/>
          <w:sz w:val="24"/>
          <w:szCs w:val="24"/>
        </w:rPr>
        <w:t>о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сударственного бюджета Республики Саха (Якутия)», </w:t>
      </w:r>
      <w:r w:rsidRPr="00FF6C6A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ED2" w:rsidRPr="00FF6C6A">
        <w:rPr>
          <w:rFonts w:ascii="Times New Roman" w:hAnsi="Times New Roman" w:cs="Times New Roman"/>
          <w:sz w:val="24"/>
          <w:szCs w:val="24"/>
        </w:rPr>
        <w:t>Отношение о</w:t>
      </w:r>
      <w:r w:rsidRPr="00FF6C6A">
        <w:rPr>
          <w:rFonts w:ascii="Times New Roman" w:hAnsi="Times New Roman" w:cs="Times New Roman"/>
          <w:sz w:val="24"/>
          <w:szCs w:val="24"/>
        </w:rPr>
        <w:t>бъем</w:t>
      </w:r>
      <w:r w:rsidR="00A30ED2" w:rsidRPr="00FF6C6A">
        <w:rPr>
          <w:rFonts w:ascii="Times New Roman" w:hAnsi="Times New Roman" w:cs="Times New Roman"/>
          <w:sz w:val="24"/>
          <w:szCs w:val="24"/>
        </w:rPr>
        <w:t>а</w:t>
      </w:r>
      <w:r w:rsidRPr="00FF6C6A">
        <w:rPr>
          <w:rFonts w:ascii="Times New Roman" w:hAnsi="Times New Roman" w:cs="Times New Roman"/>
          <w:sz w:val="24"/>
          <w:szCs w:val="24"/>
        </w:rPr>
        <w:t xml:space="preserve"> привлеченных инвестиций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к </w:t>
      </w:r>
      <w:r w:rsidRPr="00FF6C6A">
        <w:rPr>
          <w:rFonts w:ascii="Times New Roman" w:hAnsi="Times New Roman" w:cs="Times New Roman"/>
          <w:sz w:val="24"/>
          <w:szCs w:val="24"/>
        </w:rPr>
        <w:t>план</w:t>
      </w:r>
      <w:r w:rsidR="00A30ED2" w:rsidRPr="00FF6C6A">
        <w:rPr>
          <w:rFonts w:ascii="Times New Roman" w:hAnsi="Times New Roman" w:cs="Times New Roman"/>
          <w:sz w:val="24"/>
          <w:szCs w:val="24"/>
        </w:rPr>
        <w:t>у * 100%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. 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(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Источник получения и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сходны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 xml:space="preserve"> данны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: План – инвестиционная программа Общества, факт – отчет об исполнении инвестиционной программы предприятия предоставляемый в Министерство жилищно-коммунального хозяйства и энергетики Республики Саха (Якутия).</w:t>
      </w:r>
      <w:r w:rsidR="00B12235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C32D21" w:rsidRPr="00FF6C6A">
        <w:rPr>
          <w:rFonts w:ascii="Times New Roman" w:hAnsi="Times New Roman" w:cs="Times New Roman"/>
          <w:sz w:val="24"/>
          <w:szCs w:val="24"/>
        </w:rPr>
        <w:t>При значении больше 80</w:t>
      </w:r>
      <w:proofErr w:type="gramStart"/>
      <w:r w:rsidR="00C32D21" w:rsidRPr="00FF6C6A">
        <w:rPr>
          <w:rFonts w:ascii="Times New Roman" w:hAnsi="Times New Roman" w:cs="Times New Roman"/>
          <w:sz w:val="24"/>
          <w:szCs w:val="24"/>
        </w:rPr>
        <w:t>%  –</w:t>
      </w:r>
      <w:proofErr w:type="gramEnd"/>
      <w:r w:rsidR="00C32D21" w:rsidRPr="00FF6C6A">
        <w:rPr>
          <w:rFonts w:ascii="Times New Roman" w:hAnsi="Times New Roman" w:cs="Times New Roman"/>
          <w:sz w:val="24"/>
          <w:szCs w:val="24"/>
        </w:rPr>
        <w:t xml:space="preserve"> 1, меньше </w:t>
      </w:r>
      <w:r w:rsidR="00B12235" w:rsidRPr="00FF6C6A">
        <w:rPr>
          <w:rFonts w:ascii="Times New Roman" w:hAnsi="Times New Roman" w:cs="Times New Roman"/>
          <w:sz w:val="24"/>
          <w:szCs w:val="24"/>
        </w:rPr>
        <w:t>80</w:t>
      </w:r>
      <w:r w:rsidR="00C32D21" w:rsidRPr="00FF6C6A">
        <w:rPr>
          <w:rFonts w:ascii="Times New Roman" w:hAnsi="Times New Roman" w:cs="Times New Roman"/>
          <w:sz w:val="24"/>
          <w:szCs w:val="24"/>
        </w:rPr>
        <w:t>% – 0.</w:t>
      </w:r>
      <w:r w:rsidRPr="00FF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35" w:rsidRPr="00FF6C6A" w:rsidRDefault="00B12235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Количество реализованных инвестиционных проектов по водоснабжению и водоотведению</w:t>
      </w:r>
      <w:r w:rsidRPr="00FF6C6A">
        <w:rPr>
          <w:rFonts w:ascii="Times New Roman" w:hAnsi="Times New Roman" w:cs="Times New Roman"/>
          <w:sz w:val="24"/>
          <w:szCs w:val="24"/>
        </w:rPr>
        <w:t xml:space="preserve">, долгосрочный. Количество реализованных инвестиционных проектов. </w:t>
      </w:r>
      <w:r w:rsidR="002E5C48" w:rsidRPr="00FF6C6A">
        <w:rPr>
          <w:rFonts w:ascii="Times New Roman" w:hAnsi="Times New Roman" w:cs="Times New Roman"/>
          <w:sz w:val="24"/>
          <w:szCs w:val="24"/>
        </w:rPr>
        <w:t>(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Источник получения исходных данных: п</w:t>
      </w:r>
      <w:r w:rsidRPr="00FF6C6A">
        <w:rPr>
          <w:rFonts w:ascii="Times New Roman" w:hAnsi="Times New Roman" w:cs="Times New Roman"/>
          <w:i/>
          <w:sz w:val="24"/>
          <w:szCs w:val="24"/>
        </w:rPr>
        <w:t xml:space="preserve">лан: Стратегия развития АО "Водоканал" 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на</w:t>
      </w:r>
      <w:r w:rsidRPr="00FF6C6A">
        <w:rPr>
          <w:rFonts w:ascii="Times New Roman" w:hAnsi="Times New Roman" w:cs="Times New Roman"/>
          <w:i/>
          <w:sz w:val="24"/>
          <w:szCs w:val="24"/>
        </w:rPr>
        <w:t xml:space="preserve"> 2019-2032 годы, отчет:</w:t>
      </w:r>
      <w:r w:rsidR="00400B4A" w:rsidRPr="00400B4A">
        <w:rPr>
          <w:rFonts w:ascii="Times New Roman" w:hAnsi="Times New Roman" w:cs="Times New Roman"/>
          <w:sz w:val="24"/>
          <w:szCs w:val="24"/>
        </w:rPr>
        <w:t xml:space="preserve"> акты о вводе объекта в эксплуатацию, акты выполненных работ, акты о завершении строительства объекта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).</w:t>
      </w:r>
      <w:r w:rsidRPr="00FF6C6A">
        <w:rPr>
          <w:rFonts w:ascii="Times New Roman" w:hAnsi="Times New Roman" w:cs="Times New Roman"/>
          <w:sz w:val="24"/>
          <w:szCs w:val="24"/>
        </w:rPr>
        <w:t xml:space="preserve"> Значение больше либо равно плану -1, меньше плана – 0. </w:t>
      </w:r>
    </w:p>
    <w:p w:rsidR="000B0A91" w:rsidRPr="00461486" w:rsidRDefault="000B0A9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500E57" w:rsidRPr="0006288E" w:rsidRDefault="00500E57" w:rsidP="00E356CA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8E">
        <w:rPr>
          <w:rFonts w:ascii="Times New Roman" w:hAnsi="Times New Roman" w:cs="Times New Roman"/>
          <w:b/>
          <w:sz w:val="24"/>
          <w:szCs w:val="24"/>
        </w:rPr>
        <w:t>Не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8E">
        <w:rPr>
          <w:rFonts w:ascii="Times New Roman" w:hAnsi="Times New Roman" w:cs="Times New Roman"/>
          <w:b/>
          <w:sz w:val="24"/>
          <w:szCs w:val="24"/>
        </w:rPr>
        <w:t xml:space="preserve">превышение постоянных и переменных расходов </w:t>
      </w:r>
      <w:r w:rsidR="00C427F8" w:rsidRPr="000628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 xml:space="preserve">установленного </w:t>
      </w:r>
      <w:r w:rsidRPr="0006288E">
        <w:rPr>
          <w:rFonts w:ascii="Times New Roman" w:hAnsi="Times New Roman" w:cs="Times New Roman"/>
          <w:b/>
          <w:sz w:val="24"/>
          <w:szCs w:val="24"/>
        </w:rPr>
        <w:t>тарифн</w:t>
      </w:r>
      <w:r w:rsidR="00E356CA" w:rsidRPr="0006288E">
        <w:rPr>
          <w:rFonts w:ascii="Times New Roman" w:hAnsi="Times New Roman" w:cs="Times New Roman"/>
          <w:b/>
          <w:sz w:val="24"/>
          <w:szCs w:val="24"/>
        </w:rPr>
        <w:t>ого плана расходов</w:t>
      </w:r>
      <w:r w:rsidR="004F2777" w:rsidRPr="0006288E">
        <w:rPr>
          <w:rFonts w:ascii="Times New Roman" w:hAnsi="Times New Roman" w:cs="Times New Roman"/>
          <w:b/>
          <w:sz w:val="24"/>
          <w:szCs w:val="24"/>
        </w:rPr>
        <w:t xml:space="preserve"> (за исключением начисления амортизации)</w:t>
      </w:r>
      <w:r w:rsidRPr="0006288E">
        <w:rPr>
          <w:rFonts w:ascii="Times New Roman" w:hAnsi="Times New Roman" w:cs="Times New Roman"/>
          <w:sz w:val="24"/>
          <w:szCs w:val="24"/>
        </w:rPr>
        <w:t>.</w:t>
      </w:r>
      <w:r w:rsidR="00E356CA" w:rsidRPr="0006288E">
        <w:rPr>
          <w:rFonts w:ascii="Times New Roman" w:hAnsi="Times New Roman" w:cs="Times New Roman"/>
          <w:sz w:val="24"/>
          <w:szCs w:val="24"/>
        </w:rPr>
        <w:t xml:space="preserve"> Рассчитывается по данным бухгалтерской отчетности как отношение себестоимости к тарифному </w:t>
      </w:r>
      <w:r w:rsidR="00C427F8" w:rsidRPr="0006288E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E356CA" w:rsidRPr="0006288E">
        <w:rPr>
          <w:rFonts w:ascii="Times New Roman" w:hAnsi="Times New Roman" w:cs="Times New Roman"/>
          <w:sz w:val="24"/>
          <w:szCs w:val="24"/>
        </w:rPr>
        <w:t>плану</w:t>
      </w:r>
      <w:r w:rsidR="008D7321" w:rsidRPr="0006288E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356CA" w:rsidRPr="0006288E">
        <w:rPr>
          <w:rFonts w:ascii="Times New Roman" w:hAnsi="Times New Roman" w:cs="Times New Roman"/>
          <w:sz w:val="24"/>
          <w:szCs w:val="24"/>
        </w:rPr>
        <w:t xml:space="preserve">. При значении показателя меньше либо равно 1 - 1, больше 1 – 0.    </w:t>
      </w:r>
      <w:r w:rsidRPr="000628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A91" w:rsidRDefault="000B0A91" w:rsidP="00CA4E9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4">
        <w:rPr>
          <w:rFonts w:ascii="Times New Roman" w:hAnsi="Times New Roman" w:cs="Times New Roman"/>
          <w:b/>
          <w:sz w:val="24"/>
          <w:szCs w:val="24"/>
        </w:rPr>
        <w:t>Выручка от основной деятельности (за вычетом субсидии ОКК и платы за подключение).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461486">
        <w:rPr>
          <w:rFonts w:ascii="Times New Roman" w:hAnsi="Times New Roman" w:cs="Times New Roman"/>
          <w:sz w:val="24"/>
          <w:szCs w:val="24"/>
        </w:rPr>
        <w:t>ед.</w:t>
      </w:r>
      <w:r w:rsidR="00B91D4A">
        <w:rPr>
          <w:rFonts w:ascii="Times New Roman" w:hAnsi="Times New Roman" w:cs="Times New Roman"/>
          <w:sz w:val="24"/>
          <w:szCs w:val="24"/>
        </w:rPr>
        <w:t xml:space="preserve"> </w:t>
      </w:r>
      <w:r w:rsidR="00732CC6" w:rsidRPr="00461486">
        <w:rPr>
          <w:rFonts w:ascii="Times New Roman" w:hAnsi="Times New Roman" w:cs="Times New Roman"/>
          <w:sz w:val="24"/>
          <w:szCs w:val="24"/>
        </w:rPr>
        <w:t xml:space="preserve">изм. - </w:t>
      </w:r>
      <w:r w:rsidRPr="00461486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461486">
        <w:rPr>
          <w:rFonts w:ascii="Times New Roman" w:hAnsi="Times New Roman" w:cs="Times New Roman"/>
          <w:sz w:val="24"/>
          <w:szCs w:val="24"/>
        </w:rPr>
        <w:t>,</w:t>
      </w:r>
      <w:r w:rsidRPr="00461486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461486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  <w:r w:rsidR="00534043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r w:rsidR="00903D9D" w:rsidRPr="00461486">
        <w:rPr>
          <w:rFonts w:ascii="Times New Roman" w:hAnsi="Times New Roman" w:cs="Times New Roman"/>
          <w:sz w:val="24"/>
          <w:szCs w:val="24"/>
        </w:rPr>
        <w:t>95</w:t>
      </w:r>
      <w:r w:rsidRPr="00461486">
        <w:rPr>
          <w:rFonts w:ascii="Times New Roman" w:hAnsi="Times New Roman" w:cs="Times New Roman"/>
          <w:sz w:val="24"/>
          <w:szCs w:val="24"/>
        </w:rPr>
        <w:t>% и выше – 1 балл, менее 9</w:t>
      </w:r>
      <w:r w:rsidR="00903D9D" w:rsidRPr="00461486"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% - 0 баллов.</w:t>
      </w:r>
    </w:p>
    <w:p w:rsidR="00C4372A" w:rsidRDefault="00694513" w:rsidP="00694513">
      <w:pPr>
        <w:pStyle w:val="a3"/>
        <w:tabs>
          <w:tab w:val="left" w:pos="0"/>
          <w:tab w:val="left" w:pos="54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513" w:rsidRDefault="00694513" w:rsidP="00694513">
      <w:pPr>
        <w:pStyle w:val="a3"/>
        <w:tabs>
          <w:tab w:val="left" w:pos="0"/>
          <w:tab w:val="left" w:pos="54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A91" w:rsidRPr="00461486" w:rsidRDefault="000B0A9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Отраслевые показатели</w:t>
      </w:r>
    </w:p>
    <w:p w:rsidR="00FF6C6A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сеть.</w:t>
      </w:r>
      <w:r w:rsidR="00FF6C6A" w:rsidRPr="00FF6C6A">
        <w:rPr>
          <w:rFonts w:ascii="Times New Roman" w:hAnsi="Times New Roman" w:cs="Times New Roman"/>
          <w:sz w:val="24"/>
          <w:szCs w:val="24"/>
        </w:rPr>
        <w:t xml:space="preserve"> Объем потерь / Объем воды, поданной в сеть * 100%. Объем потерь определяется как разница между подъемом воды и реализацией населению, с учетом собственных нужд предприятия. </w:t>
      </w:r>
      <w:r w:rsidR="001778E7" w:rsidRPr="00FF6C6A">
        <w:rPr>
          <w:rFonts w:ascii="Times New Roman" w:hAnsi="Times New Roman" w:cs="Times New Roman"/>
          <w:sz w:val="24"/>
          <w:szCs w:val="24"/>
        </w:rPr>
        <w:t>Предусматривает с</w:t>
      </w:r>
      <w:r w:rsidRPr="00FF6C6A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FF6C6A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за отчетный период с плановым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 значением показателя </w:t>
      </w:r>
      <w:r w:rsidR="00094003" w:rsidRPr="00FF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003"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94003" w:rsidRPr="00FF6C6A">
        <w:rPr>
          <w:rFonts w:ascii="Times New Roman" w:hAnsi="Times New Roman" w:cs="Times New Roman"/>
          <w:sz w:val="24"/>
          <w:szCs w:val="24"/>
        </w:rPr>
        <w:t xml:space="preserve"> - %)</w:t>
      </w:r>
      <w:r w:rsidRPr="00FF6C6A">
        <w:rPr>
          <w:rFonts w:ascii="Times New Roman" w:hAnsi="Times New Roman" w:cs="Times New Roman"/>
          <w:sz w:val="24"/>
          <w:szCs w:val="24"/>
        </w:rPr>
        <w:t xml:space="preserve">. Снижение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или равенство текущего 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к плановому</w:t>
      </w:r>
      <w:r w:rsidRPr="00FF6C6A">
        <w:rPr>
          <w:rFonts w:ascii="Times New Roman" w:hAnsi="Times New Roman" w:cs="Times New Roman"/>
          <w:sz w:val="24"/>
          <w:szCs w:val="24"/>
        </w:rPr>
        <w:t xml:space="preserve"> – 1, превышение – 0.</w:t>
      </w:r>
    </w:p>
    <w:p w:rsidR="004C1678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78">
        <w:rPr>
          <w:rFonts w:ascii="Times New Roman" w:hAnsi="Times New Roman" w:cs="Times New Roman"/>
          <w:b/>
          <w:sz w:val="24"/>
          <w:szCs w:val="24"/>
        </w:rPr>
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</w:r>
      <w:r w:rsidR="007354FC" w:rsidRPr="004C1678">
        <w:rPr>
          <w:rFonts w:ascii="Times New Roman" w:hAnsi="Times New Roman" w:cs="Times New Roman"/>
          <w:b/>
          <w:sz w:val="24"/>
          <w:szCs w:val="24"/>
        </w:rPr>
        <w:t>.</w:t>
      </w:r>
      <w:r w:rsidR="007354FC" w:rsidRPr="00FF6C6A">
        <w:rPr>
          <w:rFonts w:ascii="Times New Roman" w:hAnsi="Times New Roman" w:cs="Times New Roman"/>
          <w:sz w:val="24"/>
          <w:szCs w:val="24"/>
        </w:rPr>
        <w:t xml:space="preserve"> Р</w:t>
      </w:r>
      <w:r w:rsidRPr="00FF6C6A">
        <w:rPr>
          <w:rFonts w:ascii="Times New Roman" w:hAnsi="Times New Roman" w:cs="Times New Roman"/>
          <w:sz w:val="24"/>
          <w:szCs w:val="24"/>
        </w:rPr>
        <w:t>ассчитывается отношением количества перерывов в подаче воды на протяженность сетей (</w:t>
      </w:r>
      <w:proofErr w:type="spellStart"/>
      <w:r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Pr="00FF6C6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F6C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F6C6A">
        <w:rPr>
          <w:rFonts w:ascii="Times New Roman" w:hAnsi="Times New Roman" w:cs="Times New Roman"/>
          <w:sz w:val="24"/>
          <w:szCs w:val="24"/>
        </w:rPr>
        <w:t xml:space="preserve">/км). Сравнивается фактическое значение показателя с </w:t>
      </w:r>
      <w:r w:rsidR="00A74C28" w:rsidRPr="00FF6C6A">
        <w:rPr>
          <w:rFonts w:ascii="Times New Roman" w:hAnsi="Times New Roman" w:cs="Times New Roman"/>
          <w:sz w:val="24"/>
          <w:szCs w:val="24"/>
        </w:rPr>
        <w:t>плановым</w:t>
      </w:r>
      <w:r w:rsidRPr="00FF6C6A">
        <w:rPr>
          <w:rFonts w:ascii="Times New Roman" w:hAnsi="Times New Roman" w:cs="Times New Roman"/>
          <w:sz w:val="24"/>
          <w:szCs w:val="24"/>
        </w:rPr>
        <w:t xml:space="preserve">, </w:t>
      </w:r>
      <w:r w:rsidR="00A74C28" w:rsidRPr="00FF6C6A">
        <w:rPr>
          <w:rFonts w:ascii="Times New Roman" w:hAnsi="Times New Roman" w:cs="Times New Roman"/>
          <w:sz w:val="24"/>
          <w:szCs w:val="24"/>
        </w:rPr>
        <w:t>приравненным к 0</w:t>
      </w:r>
      <w:r w:rsidRPr="00FF6C6A">
        <w:rPr>
          <w:rFonts w:ascii="Times New Roman" w:hAnsi="Times New Roman" w:cs="Times New Roman"/>
          <w:sz w:val="24"/>
          <w:szCs w:val="24"/>
        </w:rPr>
        <w:t>. Превышение фактического показателя от планового – 0, равно – 1.</w:t>
      </w:r>
    </w:p>
    <w:p w:rsidR="003746E9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b/>
          <w:sz w:val="24"/>
          <w:szCs w:val="24"/>
        </w:rPr>
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D1206" w:rsidRPr="003746E9">
        <w:rPr>
          <w:rFonts w:ascii="Times New Roman" w:hAnsi="Times New Roman" w:cs="Times New Roman"/>
          <w:b/>
          <w:sz w:val="24"/>
          <w:szCs w:val="24"/>
        </w:rPr>
        <w:t>.</w:t>
      </w:r>
      <w:r w:rsidR="00DD1206" w:rsidRPr="00374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3746E9">
        <w:rPr>
          <w:rFonts w:ascii="Times New Roman" w:hAnsi="Times New Roman" w:cs="Times New Roman"/>
          <w:sz w:val="24"/>
          <w:szCs w:val="24"/>
        </w:rPr>
        <w:t>как отношение количества проб питьевой воды, не соответствующих установленным требованиям к общему объему проб, отобранных по результатам производственного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 контроля качества (</w:t>
      </w:r>
      <w:proofErr w:type="spellStart"/>
      <w:r w:rsidR="003125D2" w:rsidRPr="003746E9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3125D2" w:rsidRPr="003746E9">
        <w:rPr>
          <w:rFonts w:ascii="Times New Roman" w:hAnsi="Times New Roman" w:cs="Times New Roman"/>
          <w:sz w:val="24"/>
          <w:szCs w:val="24"/>
        </w:rPr>
        <w:t xml:space="preserve"> - %) путем сравнения фактического показателя с плановым. </w:t>
      </w:r>
      <w:r w:rsidRPr="003746E9">
        <w:rPr>
          <w:rFonts w:ascii="Times New Roman" w:hAnsi="Times New Roman" w:cs="Times New Roman"/>
          <w:sz w:val="24"/>
          <w:szCs w:val="24"/>
        </w:rPr>
        <w:t>П</w:t>
      </w:r>
      <w:r w:rsidR="00DD1206" w:rsidRPr="003746E9">
        <w:rPr>
          <w:rFonts w:ascii="Times New Roman" w:hAnsi="Times New Roman" w:cs="Times New Roman"/>
          <w:sz w:val="24"/>
          <w:szCs w:val="24"/>
        </w:rPr>
        <w:t xml:space="preserve">лановый показатель </w:t>
      </w:r>
      <w:r w:rsidR="00463DD5" w:rsidRPr="003746E9">
        <w:rPr>
          <w:rFonts w:ascii="Times New Roman" w:hAnsi="Times New Roman" w:cs="Times New Roman"/>
          <w:sz w:val="24"/>
          <w:szCs w:val="24"/>
        </w:rPr>
        <w:t>утвержден постановлением ГКЦ РС (Я).</w:t>
      </w:r>
      <w:r w:rsidR="00CE3D45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DD1206" w:rsidRPr="003746E9">
        <w:rPr>
          <w:rFonts w:ascii="Times New Roman" w:hAnsi="Times New Roman" w:cs="Times New Roman"/>
          <w:sz w:val="24"/>
          <w:szCs w:val="24"/>
        </w:rPr>
        <w:t>П</w:t>
      </w:r>
      <w:r w:rsidRPr="003746E9">
        <w:rPr>
          <w:rFonts w:ascii="Times New Roman" w:hAnsi="Times New Roman" w:cs="Times New Roman"/>
          <w:sz w:val="24"/>
          <w:szCs w:val="24"/>
        </w:rPr>
        <w:t xml:space="preserve">ревышение от плана – 0, </w:t>
      </w:r>
      <w:r w:rsidR="00DD1206" w:rsidRPr="003746E9">
        <w:rPr>
          <w:rFonts w:ascii="Times New Roman" w:hAnsi="Times New Roman" w:cs="Times New Roman"/>
          <w:sz w:val="24"/>
          <w:szCs w:val="24"/>
        </w:rPr>
        <w:t>равно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– 1.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(Примечание: показатель учитывается после ввода в эксплуатацию очистных сооружений водоснабжения).</w:t>
      </w:r>
    </w:p>
    <w:p w:rsidR="00A74C28" w:rsidRPr="003746E9" w:rsidRDefault="00463DD5" w:rsidP="00CA4E9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6E9">
        <w:rPr>
          <w:rFonts w:ascii="Times New Roman" w:hAnsi="Times New Roman" w:cs="Times New Roman"/>
          <w:sz w:val="24"/>
          <w:szCs w:val="24"/>
        </w:rPr>
        <w:t xml:space="preserve">В 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74C28" w:rsidRPr="003746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2.1.4.1074-01 «Питьевая вода» от 2002 года установлены следующие показатели качества питьевой воды:</w:t>
      </w:r>
    </w:p>
    <w:p w:rsidR="00A74C28" w:rsidRPr="003746E9" w:rsidRDefault="00A74C28" w:rsidP="00CA4E99">
      <w:pPr>
        <w:spacing w:after="0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3031"/>
        <w:gridCol w:w="3402"/>
        <w:gridCol w:w="1789"/>
      </w:tblGrid>
      <w:tr w:rsidR="00A74C28" w:rsidRPr="003746E9" w:rsidTr="0055311A">
        <w:tc>
          <w:tcPr>
            <w:tcW w:w="513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№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6E9">
              <w:rPr>
                <w:rFonts w:ascii="Times New Roman" w:hAnsi="Times New Roman" w:cs="Times New Roman"/>
              </w:rPr>
              <w:t>Ед.измерения</w:t>
            </w:r>
            <w:proofErr w:type="spellEnd"/>
          </w:p>
        </w:tc>
        <w:tc>
          <w:tcPr>
            <w:tcW w:w="1789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Нормативы,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ЕМФ (единицы мутности по </w:t>
            </w:r>
            <w:proofErr w:type="spellStart"/>
            <w:r w:rsidRPr="003746E9">
              <w:rPr>
                <w:rFonts w:ascii="Times New Roman" w:hAnsi="Times New Roman" w:cs="Times New Roman"/>
              </w:rPr>
              <w:t>формазину</w:t>
            </w:r>
            <w:proofErr w:type="spellEnd"/>
            <w:r w:rsidRPr="003746E9">
              <w:rPr>
                <w:rFonts w:ascii="Times New Roman" w:hAnsi="Times New Roman" w:cs="Times New Roman"/>
              </w:rPr>
              <w:t>), или 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1,5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Окисляемость перманентная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5,0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Содержание железа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0,3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3746E9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746E9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4C1678" w:rsidRPr="003746E9" w:rsidRDefault="003746E9" w:rsidP="00CA4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sz w:val="24"/>
          <w:szCs w:val="24"/>
        </w:rPr>
        <w:t xml:space="preserve">*Если не </w:t>
      </w:r>
      <w:r w:rsidR="00A74C28" w:rsidRPr="003746E9">
        <w:rPr>
          <w:rFonts w:ascii="Times New Roman" w:hAnsi="Times New Roman" w:cs="Times New Roman"/>
          <w:sz w:val="24"/>
          <w:szCs w:val="24"/>
        </w:rPr>
        <w:t>устан</w:t>
      </w:r>
      <w:r w:rsidR="00463DD5" w:rsidRPr="003746E9">
        <w:rPr>
          <w:rFonts w:ascii="Times New Roman" w:hAnsi="Times New Roman" w:cs="Times New Roman"/>
          <w:sz w:val="24"/>
          <w:szCs w:val="24"/>
        </w:rPr>
        <w:t>о</w:t>
      </w:r>
      <w:r w:rsidR="00A74C28" w:rsidRPr="003746E9">
        <w:rPr>
          <w:rFonts w:ascii="Times New Roman" w:hAnsi="Times New Roman" w:cs="Times New Roman"/>
          <w:sz w:val="24"/>
          <w:szCs w:val="24"/>
        </w:rPr>
        <w:t>вл</w:t>
      </w:r>
      <w:r w:rsidR="00463DD5" w:rsidRPr="003746E9">
        <w:rPr>
          <w:rFonts w:ascii="Times New Roman" w:hAnsi="Times New Roman" w:cs="Times New Roman"/>
          <w:sz w:val="24"/>
          <w:szCs w:val="24"/>
        </w:rPr>
        <w:t>ены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временные отклонения гигиенических нормативов органолептических показателей водопроводной воды в г.</w:t>
      </w:r>
      <w:r w:rsidR="0055311A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A74C28" w:rsidRPr="003746E9">
        <w:rPr>
          <w:rFonts w:ascii="Times New Roman" w:hAnsi="Times New Roman" w:cs="Times New Roman"/>
          <w:sz w:val="24"/>
          <w:szCs w:val="24"/>
        </w:rPr>
        <w:t>Якутске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главным санитарным </w:t>
      </w:r>
      <w:proofErr w:type="gramStart"/>
      <w:r w:rsidRPr="003746E9">
        <w:rPr>
          <w:rFonts w:ascii="Times New Roman" w:hAnsi="Times New Roman" w:cs="Times New Roman"/>
          <w:sz w:val="24"/>
          <w:szCs w:val="24"/>
        </w:rPr>
        <w:t>врачом  Республики</w:t>
      </w:r>
      <w:proofErr w:type="gramEnd"/>
      <w:r w:rsidRPr="003746E9">
        <w:rPr>
          <w:rFonts w:ascii="Times New Roman" w:hAnsi="Times New Roman" w:cs="Times New Roman"/>
          <w:sz w:val="24"/>
          <w:szCs w:val="24"/>
        </w:rPr>
        <w:t xml:space="preserve"> Саха (Якутия).</w:t>
      </w:r>
    </w:p>
    <w:p w:rsidR="000B0A91" w:rsidRPr="00C87323" w:rsidRDefault="000B0A91" w:rsidP="00CA4E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1678">
        <w:rPr>
          <w:rFonts w:ascii="Times New Roman" w:hAnsi="Times New Roman" w:cs="Times New Roman"/>
          <w:b/>
          <w:sz w:val="24"/>
          <w:szCs w:val="24"/>
        </w:rPr>
        <w:t>Доля сточных вод, подвергающихся очистке в общем объеме сточных вод</w:t>
      </w:r>
      <w:r w:rsidR="00DD1206" w:rsidRPr="004C1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206" w:rsidRPr="004C1678">
        <w:rPr>
          <w:rFonts w:ascii="Times New Roman" w:hAnsi="Times New Roman" w:cs="Times New Roman"/>
          <w:sz w:val="24"/>
          <w:szCs w:val="24"/>
        </w:rPr>
        <w:t>Р</w:t>
      </w:r>
      <w:r w:rsidRPr="004C1678">
        <w:rPr>
          <w:rFonts w:ascii="Times New Roman" w:hAnsi="Times New Roman" w:cs="Times New Roman"/>
          <w:sz w:val="24"/>
          <w:szCs w:val="24"/>
        </w:rPr>
        <w:t>ассчитывается как отношение объема очищаемых сточных вод к общему объему принятых сточных вод (ед.</w:t>
      </w:r>
      <w:r w:rsidR="004C1678">
        <w:rPr>
          <w:rFonts w:ascii="Times New Roman" w:hAnsi="Times New Roman" w:cs="Times New Roman"/>
          <w:sz w:val="24"/>
          <w:szCs w:val="24"/>
        </w:rPr>
        <w:t xml:space="preserve"> </w:t>
      </w:r>
      <w:r w:rsidRPr="004C1678">
        <w:rPr>
          <w:rFonts w:ascii="Times New Roman" w:hAnsi="Times New Roman" w:cs="Times New Roman"/>
          <w:sz w:val="24"/>
          <w:szCs w:val="24"/>
        </w:rPr>
        <w:t>изм. - %). Плановое значение показателя приравнивается к 100%. Фактический показатель равен плановому – 1, меньше – 0.</w:t>
      </w:r>
    </w:p>
    <w:p w:rsidR="003501C5" w:rsidRDefault="00FB0CA6" w:rsidP="00FB0CA6">
      <w:pPr>
        <w:pStyle w:val="a3"/>
        <w:tabs>
          <w:tab w:val="left" w:pos="408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B8A" w:rsidRPr="00461486" w:rsidRDefault="004B3B8A" w:rsidP="00CA4E99">
      <w:pPr>
        <w:jc w:val="both"/>
        <w:sectPr w:rsidR="004B3B8A" w:rsidRPr="00461486" w:rsidSect="00F3329C">
          <w:footerReference w:type="default" r:id="rId9"/>
          <w:footerReference w:type="first" r:id="rId10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461486" w:rsidRDefault="00A82FF7" w:rsidP="00CA4E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F44FAE" w:rsidRPr="00461486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461486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p w:rsidR="00786E75" w:rsidRDefault="00786E75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1964"/>
        <w:gridCol w:w="3674"/>
        <w:gridCol w:w="4111"/>
        <w:gridCol w:w="4613"/>
      </w:tblGrid>
      <w:tr w:rsidR="009D36E1" w:rsidRPr="00694513" w:rsidTr="00C57726">
        <w:trPr>
          <w:trHeight w:val="317"/>
        </w:trPr>
        <w:tc>
          <w:tcPr>
            <w:tcW w:w="516" w:type="dxa"/>
            <w:vMerge w:val="restart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900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КПЭ</w:t>
            </w:r>
          </w:p>
        </w:tc>
        <w:tc>
          <w:tcPr>
            <w:tcW w:w="4111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расчета</w:t>
            </w:r>
          </w:p>
        </w:tc>
        <w:tc>
          <w:tcPr>
            <w:tcW w:w="4613" w:type="dxa"/>
            <w:vMerge w:val="restart"/>
            <w:noWrap/>
            <w:hideMark/>
          </w:tcPr>
          <w:p w:rsidR="00A30ED2" w:rsidRPr="00694513" w:rsidRDefault="00A30ED2" w:rsidP="00694513">
            <w:pPr>
              <w:tabs>
                <w:tab w:val="right" w:pos="439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получения информации</w:t>
            </w:r>
            <w:r w:rsid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30ED2" w:rsidRPr="00694513" w:rsidTr="00C57726">
        <w:trPr>
          <w:trHeight w:val="480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ED2" w:rsidRPr="00694513" w:rsidTr="00694513">
        <w:trPr>
          <w:trHeight w:val="317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6E1" w:rsidRPr="00694513" w:rsidTr="00C57726">
        <w:trPr>
          <w:trHeight w:val="11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(сумма доходов организации в отчетном периоде (за исключением платы за тех. подключения и платы за негативное воздействие на ЦСВ/численность работников) / на сумму доходов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фактическую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7F765B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-</w:t>
            </w:r>
            <w:r w:rsidR="003501C5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орма 2 бухгалтерского отчета,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- 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П-4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6E1" w:rsidRPr="00694513" w:rsidTr="00C57726">
        <w:trPr>
          <w:trHeight w:val="12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111" w:type="dxa"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в отчетном периоде/к количеству заключенных договоров за прошлый период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400B4A" w:rsidP="009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Отчет о заключенны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на холодное водоснабжение по категориям потребителей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инвестиций * 100%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hideMark/>
          </w:tcPr>
          <w:p w:rsidR="00A30ED2" w:rsidRPr="00694513" w:rsidRDefault="00A30ED2" w:rsidP="00CB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Инвестиционной программы А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 "Водоканал" на 2018-2023 годы.</w:t>
            </w:r>
            <w:r w:rsid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13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94">
              <w:rPr>
                <w:rFonts w:ascii="Times New Roman" w:hAnsi="Times New Roman" w:cs="Times New Roman"/>
                <w:sz w:val="24"/>
                <w:szCs w:val="24"/>
              </w:rPr>
              <w:t xml:space="preserve">выписка с расчетного счета, подтверждающая получение кредитных средств, за отчетный период. </w:t>
            </w:r>
          </w:p>
        </w:tc>
      </w:tr>
      <w:tr w:rsidR="009D36E1" w:rsidRPr="00694513" w:rsidTr="00C57726">
        <w:trPr>
          <w:trHeight w:val="8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реализуемых инвестиционных проектов 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в сравнении с планом</w:t>
            </w:r>
          </w:p>
        </w:tc>
        <w:tc>
          <w:tcPr>
            <w:tcW w:w="4613" w:type="dxa"/>
            <w:hideMark/>
          </w:tcPr>
          <w:p w:rsidR="00A30ED2" w:rsidRPr="00694513" w:rsidRDefault="00C57726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лан: Стратегия развития АО "Водоканал" с 2019-2032 годы,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тчет: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акты о вводе объекта в эксплуатацию, акты выполненных работ, акты о завершении строительства объекта.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от основной деятел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ьности (за вычетом субсидии ОКК,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платы за подключение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и платы за негативное воздействие на ЦСВ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значения показателя с плановым значением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Форма-2 бухгалтерской отчетности, план финансово-хозяйственной деятельности, утвержденный Советом директоров </w:t>
            </w:r>
          </w:p>
        </w:tc>
      </w:tr>
      <w:tr w:rsidR="009D36E1" w:rsidRPr="00694513" w:rsidTr="008D7321">
        <w:trPr>
          <w:trHeight w:val="9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</w:tcPr>
          <w:p w:rsidR="00A30ED2" w:rsidRPr="0006288E" w:rsidRDefault="004F2777" w:rsidP="00C6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превышение постоянных и переменных расходов </w:t>
            </w:r>
            <w:r w:rsidR="00C634D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установленного тарифного плана расходов (за исключением начисления амортизации).</w:t>
            </w:r>
          </w:p>
        </w:tc>
        <w:tc>
          <w:tcPr>
            <w:tcW w:w="4111" w:type="dxa"/>
          </w:tcPr>
          <w:p w:rsidR="00A30ED2" w:rsidRPr="0006288E" w:rsidRDefault="008D7321" w:rsidP="00C4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Фактическая себестоимость</w:t>
            </w:r>
            <w:r w:rsidR="00C427F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386B19" w:rsidRPr="0006288E">
              <w:rPr>
                <w:rFonts w:ascii="Times New Roman" w:hAnsi="Times New Roman" w:cs="Times New Roman"/>
                <w:sz w:val="24"/>
                <w:szCs w:val="24"/>
              </w:rPr>
              <w:t>тарифную</w:t>
            </w:r>
            <w:proofErr w:type="gramEnd"/>
            <w:r w:rsidR="00C427F8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календарную </w:t>
            </w: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себестои</w:t>
            </w:r>
            <w:r w:rsidR="00386B19"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4613" w:type="dxa"/>
            <w:noWrap/>
          </w:tcPr>
          <w:p w:rsidR="00A30ED2" w:rsidRPr="0006288E" w:rsidRDefault="00386B19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Форма-2 бухгалтерской отчетности, унифицированная форма утвержденная </w:t>
            </w:r>
            <w:proofErr w:type="spellStart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>Госкоцен</w:t>
            </w:r>
            <w:proofErr w:type="spellEnd"/>
            <w:r w:rsidRPr="0006288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4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/ Объем воды, поданной в сеть*100%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определяется как разница между подъемом воды и реализацией населению, с учетом собственных нужд предприятия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hideMark/>
          </w:tcPr>
          <w:p w:rsidR="00A30ED2" w:rsidRPr="00694513" w:rsidRDefault="00A30ED2" w:rsidP="0038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водопровода» по форме № 1-водопровод; отчету абонентской службы «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Отчет о фактической реализации услуг водоснабжения и водоотведения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6E1" w:rsidRPr="00694513" w:rsidTr="004A3773">
        <w:trPr>
          <w:trHeight w:val="1266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месяц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Перерывы в подаче воды / Протяженность сетей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Оперативный журнал диспетчера ЦАДС; акты судебных решений; свидетельства о праве собственности; инвентарные учетные карточки основных средств; отчет о протяженности сетей водоснабжения и водоотведения</w:t>
            </w:r>
          </w:p>
        </w:tc>
      </w:tr>
      <w:tr w:rsidR="009D36E1" w:rsidRPr="00694513" w:rsidTr="00C57726">
        <w:trPr>
          <w:trHeight w:val="219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Пробы воды, не соответствующие установленным требованиям / Общий объем проб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54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журналы химико-бактериологической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органолептических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обобщенных, микробиологических показателей и полный химический анализ; заключение Управления </w:t>
            </w:r>
            <w:proofErr w:type="spell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по РС (Я)</w:t>
            </w:r>
          </w:p>
        </w:tc>
      </w:tr>
      <w:tr w:rsidR="009D36E1" w:rsidRPr="00694513" w:rsidTr="00C57726">
        <w:trPr>
          <w:trHeight w:val="12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сточных вод, подвергающихся очистке / Общий объем сточных вод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канализации» по форме 1-канализация; ежемесячные данные по форме, утвержденной приказом Министерства природных ресурсов РФ приказом от 8 июля 2009 г. N 205 (по показаниям прибора учета)</w:t>
            </w:r>
          </w:p>
        </w:tc>
      </w:tr>
      <w:tr w:rsidR="009D36E1" w:rsidRPr="00694513" w:rsidTr="00C57726">
        <w:trPr>
          <w:trHeight w:val="3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5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D36E1"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30ED2" w:rsidRPr="00461486" w:rsidRDefault="00A30ED2" w:rsidP="00CA4E99">
      <w:pPr>
        <w:spacing w:after="0"/>
        <w:rPr>
          <w:rFonts w:ascii="Times New Roman" w:hAnsi="Times New Roman" w:cs="Times New Roman"/>
          <w:sz w:val="24"/>
          <w:szCs w:val="24"/>
        </w:rPr>
        <w:sectPr w:rsidR="00A30ED2" w:rsidRPr="004614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F50D7" w:rsidRPr="00461486" w:rsidRDefault="00FC6D6F" w:rsidP="00CA4E9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" w:name="_Toc508095696"/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Матрица </w:t>
      </w:r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6"/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5017"/>
        <w:gridCol w:w="1452"/>
        <w:gridCol w:w="1426"/>
        <w:gridCol w:w="1599"/>
        <w:gridCol w:w="1528"/>
        <w:gridCol w:w="1515"/>
        <w:gridCol w:w="1435"/>
        <w:gridCol w:w="1305"/>
      </w:tblGrid>
      <w:tr w:rsidR="002B030A" w:rsidRPr="00461486" w:rsidTr="009D36E1">
        <w:trPr>
          <w:trHeight w:val="131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производству и строительству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FE1B7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2B030A"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 w:rsidR="009D3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инвестициям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D36E1" w:rsidRPr="00461486" w:rsidTr="009D36E1">
        <w:trPr>
          <w:trHeight w:val="48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9D36E1">
        <w:trPr>
          <w:trHeight w:val="9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8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9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4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615CBA" w:rsidRDefault="00C427F8" w:rsidP="00CA4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3125A8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5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F2777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83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2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15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8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8B4131" w:rsidRPr="00461486" w:rsidRDefault="008B4131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20D1" w:rsidRPr="00461486" w:rsidRDefault="007354FC" w:rsidP="00CA4E99">
      <w:pPr>
        <w:tabs>
          <w:tab w:val="left" w:pos="63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461486">
        <w:rPr>
          <w:rFonts w:ascii="Times New Roman" w:hAnsi="Times New Roman" w:cs="Times New Roman"/>
          <w:sz w:val="24"/>
          <w:szCs w:val="24"/>
        </w:rPr>
        <w:t>И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461486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461486" w:rsidRDefault="007354FC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354FC" w:rsidRPr="00461486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508095697"/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генерального директора АО «Водоканал»</w:t>
      </w:r>
    </w:p>
    <w:p w:rsidR="00581437" w:rsidRPr="00461486" w:rsidRDefault="0058143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6431"/>
        <w:gridCol w:w="1250"/>
      </w:tblGrid>
      <w:tr w:rsidR="005B37AE" w:rsidRPr="00461486" w:rsidTr="00C427F8">
        <w:trPr>
          <w:trHeight w:val="615"/>
        </w:trPr>
        <w:tc>
          <w:tcPr>
            <w:tcW w:w="8094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C427F8">
        <w:tc>
          <w:tcPr>
            <w:tcW w:w="1663" w:type="dxa"/>
            <w:vMerge w:val="restart"/>
          </w:tcPr>
          <w:p w:rsidR="005B37AE" w:rsidRPr="00461486" w:rsidRDefault="00A74AA3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B37AE" w:rsidRPr="00461486" w:rsidRDefault="00977D06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5B37AE" w:rsidRPr="00461486" w:rsidTr="00C427F8">
        <w:trPr>
          <w:trHeight w:val="311"/>
        </w:trPr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5B37AE" w:rsidRPr="00461486" w:rsidRDefault="00977D06" w:rsidP="00977D06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1250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5B37AE" w:rsidRPr="00461486" w:rsidRDefault="00C427F8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34A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0" w:type="dxa"/>
            <w:vAlign w:val="center"/>
          </w:tcPr>
          <w:p w:rsidR="005B37AE" w:rsidRPr="00461486" w:rsidRDefault="00C427F8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E1B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C427F8">
        <w:tc>
          <w:tcPr>
            <w:tcW w:w="1663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5B37AE"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5B37AE" w:rsidRPr="00461486" w:rsidTr="00C427F8">
        <w:tc>
          <w:tcPr>
            <w:tcW w:w="1663" w:type="dxa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31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Default="00C873BB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7F8" w:rsidRDefault="00C427F8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7F8" w:rsidRPr="00461486" w:rsidRDefault="00C427F8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Удельный вес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ежеквартальных</w:t>
      </w:r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ключевых показателей эффективности деятельности</w:t>
      </w: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349"/>
        <w:gridCol w:w="1249"/>
      </w:tblGrid>
      <w:tr w:rsidR="00062977" w:rsidRPr="00461486" w:rsidTr="008F52DC">
        <w:trPr>
          <w:trHeight w:val="615"/>
        </w:trPr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49" w:type="dxa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8F52DC">
        <w:trPr>
          <w:trHeight w:val="61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400B4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62977" w:rsidRPr="00461486" w:rsidTr="008F52DC">
        <w:trPr>
          <w:trHeight w:val="324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345C82" w:rsidRPr="00461486" w:rsidTr="008F52DC">
        <w:tc>
          <w:tcPr>
            <w:tcW w:w="1746" w:type="dxa"/>
            <w:vMerge w:val="restart"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349" w:type="dxa"/>
            <w:vAlign w:val="center"/>
          </w:tcPr>
          <w:p w:rsidR="00345C82" w:rsidRPr="00461486" w:rsidRDefault="00345C82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49" w:type="dxa"/>
            <w:vAlign w:val="center"/>
          </w:tcPr>
          <w:p w:rsidR="00345C82" w:rsidRPr="00461486" w:rsidRDefault="0006288E" w:rsidP="007F20C4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5C82" w:rsidRPr="00461486" w:rsidTr="008F52DC">
        <w:tc>
          <w:tcPr>
            <w:tcW w:w="1746" w:type="dxa"/>
            <w:vMerge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345C82" w:rsidRPr="0006288E" w:rsidRDefault="00C427F8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eastAsia="Times New Roman" w:hAnsi="Times New Roman" w:cs="Times New Roman"/>
                <w:lang w:eastAsia="ru-RU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1249" w:type="dxa"/>
            <w:vAlign w:val="center"/>
          </w:tcPr>
          <w:p w:rsidR="00345C82" w:rsidRPr="00615CBA" w:rsidRDefault="0006288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8F52DC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062977" w:rsidRPr="00461486" w:rsidTr="008F52DC">
        <w:tc>
          <w:tcPr>
            <w:tcW w:w="1746" w:type="dxa"/>
            <w:vMerge w:val="restart"/>
          </w:tcPr>
          <w:p w:rsidR="00062977" w:rsidRPr="008F52DC" w:rsidRDefault="008F52DC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8F52DC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52DC" w:rsidRPr="0006288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8F52DC">
        <w:trPr>
          <w:trHeight w:val="438"/>
        </w:trPr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062977" w:rsidRPr="0006288E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062977" w:rsidRPr="00461486" w:rsidTr="008F52DC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9" w:type="dxa"/>
            <w:vAlign w:val="center"/>
          </w:tcPr>
          <w:p w:rsidR="00062977" w:rsidRPr="00461486" w:rsidRDefault="00062977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49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062977" w:rsidRPr="00461486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BB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C82" w:rsidRDefault="00345C82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Pr="00461486" w:rsidRDefault="00B91526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2DC" w:rsidRDefault="008F52DC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52DC" w:rsidRDefault="008F52DC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годовых ключевых показателей эффективности деятельности</w:t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355"/>
        <w:gridCol w:w="1249"/>
      </w:tblGrid>
      <w:tr w:rsidR="005B37AE" w:rsidRPr="00461486" w:rsidTr="00C427F8">
        <w:trPr>
          <w:trHeight w:val="615"/>
        </w:trPr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49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A74AA3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74AA3">
              <w:rPr>
                <w:rFonts w:ascii="Times New Roman" w:hAnsi="Times New Roman" w:cs="Times New Roman"/>
                <w:sz w:val="21"/>
                <w:szCs w:val="21"/>
              </w:rPr>
              <w:t>Стратегические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312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Прирост количества абонентов, подключенных к централизованным сетям водоснабжения АО "Водоканал"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(за исключением средств бюджета РС(Я)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C427F8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C427F8">
        <w:trPr>
          <w:trHeight w:val="358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C427F8" w:rsidRPr="00461486" w:rsidTr="00C427F8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vAlign w:val="center"/>
          </w:tcPr>
          <w:p w:rsidR="00C427F8" w:rsidRPr="0006288E" w:rsidRDefault="00C427F8" w:rsidP="00C427F8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49" w:type="dxa"/>
            <w:vAlign w:val="center"/>
          </w:tcPr>
          <w:p w:rsidR="00C427F8" w:rsidRPr="0006288E" w:rsidRDefault="0006288E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427F8" w:rsidRPr="00461486" w:rsidTr="00C427F8">
        <w:tc>
          <w:tcPr>
            <w:tcW w:w="1740" w:type="dxa"/>
            <w:vMerge/>
            <w:tcBorders>
              <w:top w:val="single" w:sz="4" w:space="0" w:color="auto"/>
            </w:tcBorders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  <w:vAlign w:val="center"/>
          </w:tcPr>
          <w:p w:rsidR="00C427F8" w:rsidRPr="0006288E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06288E">
              <w:rPr>
                <w:rFonts w:ascii="Times New Roman" w:hAnsi="Times New Roman" w:cs="Times New Roman"/>
                <w:sz w:val="21"/>
                <w:szCs w:val="21"/>
              </w:rPr>
              <w:t>Не превышение постоянных и переменных расходов от установленного тарифного плана расходов (за исключением начисления амортизации)</w:t>
            </w:r>
          </w:p>
        </w:tc>
        <w:tc>
          <w:tcPr>
            <w:tcW w:w="1249" w:type="dxa"/>
            <w:vAlign w:val="center"/>
          </w:tcPr>
          <w:p w:rsidR="00C427F8" w:rsidRPr="0006288E" w:rsidRDefault="0006288E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C427F8" w:rsidRPr="00461486" w:rsidTr="00C427F8">
        <w:tc>
          <w:tcPr>
            <w:tcW w:w="1740" w:type="dxa"/>
            <w:vMerge w:val="restart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c>
          <w:tcPr>
            <w:tcW w:w="1740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427F8" w:rsidRPr="00461486" w:rsidTr="00C427F8">
        <w:trPr>
          <w:trHeight w:val="438"/>
        </w:trPr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C427F8" w:rsidRPr="00461486" w:rsidTr="00C427F8">
        <w:tc>
          <w:tcPr>
            <w:tcW w:w="1740" w:type="dxa"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5" w:type="dxa"/>
            <w:vAlign w:val="center"/>
          </w:tcPr>
          <w:p w:rsidR="00C427F8" w:rsidRPr="00461486" w:rsidRDefault="00C427F8" w:rsidP="00C427F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49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заместителей генерального директора 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6016"/>
        <w:gridCol w:w="1250"/>
      </w:tblGrid>
      <w:tr w:rsidR="005B37AE" w:rsidRPr="00461486" w:rsidTr="00C427F8">
        <w:trPr>
          <w:trHeight w:val="615"/>
        </w:trPr>
        <w:tc>
          <w:tcPr>
            <w:tcW w:w="8128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C427F8">
        <w:trPr>
          <w:trHeight w:val="4063"/>
        </w:trPr>
        <w:tc>
          <w:tcPr>
            <w:tcW w:w="2112" w:type="dxa"/>
            <w:vMerge w:val="restart"/>
          </w:tcPr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з</w:t>
            </w: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 экономике и финансам</w:t>
            </w:r>
          </w:p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4C63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инвестиционному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развитию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81437" w:rsidRPr="00C87323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генерального </w:t>
            </w:r>
          </w:p>
          <w:p w:rsidR="005B37AE" w:rsidRPr="00461486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лавный бухгалтер</w:t>
            </w:r>
          </w:p>
        </w:tc>
        <w:tc>
          <w:tcPr>
            <w:tcW w:w="6016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B37AE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13C64" w:rsidRPr="00461486" w:rsidTr="00C427F8">
        <w:trPr>
          <w:trHeight w:val="306"/>
        </w:trPr>
        <w:tc>
          <w:tcPr>
            <w:tcW w:w="2112" w:type="dxa"/>
            <w:vMerge/>
          </w:tcPr>
          <w:p w:rsidR="00D13C64" w:rsidRPr="00461486" w:rsidRDefault="00D13C64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C427F8" w:rsidRPr="00461486" w:rsidTr="00C427F8">
        <w:trPr>
          <w:trHeight w:val="801"/>
        </w:trPr>
        <w:tc>
          <w:tcPr>
            <w:tcW w:w="2112" w:type="dxa"/>
            <w:vMerge w:val="restart"/>
          </w:tcPr>
          <w:p w:rsidR="00C427F8" w:rsidRPr="00461486" w:rsidRDefault="00C427F8" w:rsidP="00C427F8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Заместитель генерального директора по производству и строительству, главный инженер</w:t>
            </w: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C427F8" w:rsidRPr="00461486" w:rsidTr="00C427F8">
        <w:tc>
          <w:tcPr>
            <w:tcW w:w="2112" w:type="dxa"/>
            <w:vMerge/>
          </w:tcPr>
          <w:p w:rsidR="00C427F8" w:rsidRPr="00461486" w:rsidRDefault="00C427F8" w:rsidP="00C427F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 w:rsidR="00C427F8" w:rsidRPr="00461486" w:rsidRDefault="00C427F8" w:rsidP="00C427F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0" w:type="dxa"/>
            <w:vAlign w:val="center"/>
          </w:tcPr>
          <w:p w:rsidR="00C427F8" w:rsidRPr="00461486" w:rsidRDefault="00C427F8" w:rsidP="00C427F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984C63" w:rsidRDefault="0084628D" w:rsidP="00CA4E9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</w:t>
      </w:r>
      <w:r w:rsidR="002626A7">
        <w:rPr>
          <w:rFonts w:ascii="Times New Roman" w:hAnsi="Times New Roman" w:cs="Times New Roman"/>
          <w:sz w:val="24"/>
          <w:szCs w:val="24"/>
        </w:rPr>
        <w:t>3</w:t>
      </w:r>
      <w:r w:rsidRPr="00984C63">
        <w:rPr>
          <w:rFonts w:ascii="Times New Roman" w:hAnsi="Times New Roman" w:cs="Times New Roman"/>
          <w:sz w:val="24"/>
          <w:szCs w:val="24"/>
        </w:rPr>
        <w:t xml:space="preserve">. 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Показатели КПЭ и их веса могут изменяться от одного планового периода к другому, стимулируя развитие бизнеса </w:t>
      </w:r>
      <w:r w:rsidR="00C87323">
        <w:rPr>
          <w:rFonts w:ascii="Times New Roman" w:hAnsi="Times New Roman" w:cs="Times New Roman"/>
          <w:sz w:val="24"/>
          <w:szCs w:val="24"/>
        </w:rPr>
        <w:t>Общества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 в необходимом направлении.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26A7" w:rsidRPr="00461486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Порядок согласования, утверждения и изменения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ключевых показателей эффективности</w:t>
      </w:r>
    </w:p>
    <w:p w:rsidR="00FE4383" w:rsidRPr="00FE4383" w:rsidRDefault="00FE4383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68"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 w:rsidRPr="00FE4383">
        <w:rPr>
          <w:rFonts w:ascii="Times New Roman" w:hAnsi="Times New Roman" w:cs="Times New Roman"/>
          <w:sz w:val="24"/>
          <w:szCs w:val="24"/>
        </w:rPr>
        <w:t xml:space="preserve">На уровне совета директоров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E4383">
        <w:rPr>
          <w:rFonts w:ascii="Times New Roman" w:hAnsi="Times New Roman" w:cs="Times New Roman"/>
          <w:sz w:val="24"/>
          <w:szCs w:val="24"/>
        </w:rPr>
        <w:t xml:space="preserve"> проводится утверждение КПЭ в соответствии с утвержденными целями стратегии развития Общества.</w:t>
      </w:r>
    </w:p>
    <w:p w:rsidR="00D8200A" w:rsidRDefault="008E4C37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37">
        <w:rPr>
          <w:rFonts w:ascii="Times New Roman" w:hAnsi="Times New Roman" w:cs="Times New Roman"/>
          <w:sz w:val="24"/>
          <w:szCs w:val="24"/>
        </w:rPr>
        <w:t>4.2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. </w:t>
      </w:r>
      <w:r w:rsidRPr="008E4C37">
        <w:rPr>
          <w:rFonts w:ascii="Times New Roman" w:hAnsi="Times New Roman" w:cs="Times New Roman"/>
          <w:sz w:val="24"/>
          <w:szCs w:val="24"/>
        </w:rPr>
        <w:t>Менеджмент о</w:t>
      </w:r>
      <w:r w:rsidR="00FE4383" w:rsidRPr="008E4C37">
        <w:rPr>
          <w:rFonts w:ascii="Times New Roman" w:hAnsi="Times New Roman" w:cs="Times New Roman"/>
          <w:sz w:val="24"/>
          <w:szCs w:val="24"/>
        </w:rPr>
        <w:t>бществ</w:t>
      </w:r>
      <w:r w:rsidRPr="008E4C37">
        <w:rPr>
          <w:rFonts w:ascii="Times New Roman" w:hAnsi="Times New Roman" w:cs="Times New Roman"/>
          <w:sz w:val="24"/>
          <w:szCs w:val="24"/>
        </w:rPr>
        <w:t>а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8E4C37">
        <w:rPr>
          <w:rFonts w:ascii="Times New Roman" w:hAnsi="Times New Roman" w:cs="Times New Roman"/>
          <w:sz w:val="24"/>
          <w:szCs w:val="24"/>
        </w:rPr>
        <w:t>е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т определение фактически достигнутых величин показателей экономической эффективности за отчетный год и включают сведения о фактически достигнутых значениях показателей, а также предложения по целевым значениям показателей на три последующих года (либо на срок формирования стратегии) в годовой отчет. В случае отклонения фактически достигнутых показателей от ранее </w:t>
      </w:r>
      <w:r w:rsidR="00FE4383" w:rsidRPr="008E4C37">
        <w:rPr>
          <w:rFonts w:ascii="Times New Roman" w:hAnsi="Times New Roman" w:cs="Times New Roman"/>
          <w:sz w:val="24"/>
          <w:szCs w:val="24"/>
        </w:rPr>
        <w:lastRenderedPageBreak/>
        <w:t>установленных целевых значений, в годовом отчете приводится описание и анализ причин, повлекших указанные отклонения.</w:t>
      </w:r>
    </w:p>
    <w:p w:rsidR="00D8200A" w:rsidRDefault="00D8200A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61486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деятельности АО «Водоканал»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1 полугодия, 9 месяцев и года </w:t>
      </w:r>
      <w:r w:rsidRPr="00461486">
        <w:rPr>
          <w:rFonts w:ascii="Times New Roman" w:hAnsi="Times New Roman" w:cs="Times New Roman"/>
          <w:sz w:val="24"/>
          <w:szCs w:val="24"/>
        </w:rPr>
        <w:t xml:space="preserve">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(Якутия), по результатам которой балансовой комиссией формируются рекомендации членам Совета директоров Общества по </w:t>
      </w:r>
      <w:proofErr w:type="spellStart"/>
      <w:r w:rsidRPr="00461486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461486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  <w:r w:rsidRPr="00D8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5C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4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Общества годового отчета, утверждаются целевые значения показателей на три последующих года (либо на срок формирования стратегии). 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При этом ранее установленные целевые значения показателей за истекший год и на текущий календарный год корректировке не подлежат,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 за исключением случаев корректировки (пересмотра, утверждения в новой редакции) документов стратегического планирования</w:t>
      </w:r>
      <w:r w:rsidRPr="00A7215C">
        <w:rPr>
          <w:rFonts w:ascii="Times New Roman" w:hAnsi="Times New Roman" w:cs="Times New Roman"/>
          <w:sz w:val="24"/>
          <w:szCs w:val="24"/>
        </w:rPr>
        <w:t xml:space="preserve"> 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и </w:t>
      </w:r>
      <w:r w:rsidRPr="00A7215C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 и нормативными правовыми актами.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Кроме того, недопустимо снижение показателей на следующий планируемый период, за исключением случаев обоснования объективными причинами (изменение законодательства, реализация инвестиционных проектов, перепрофилирование).</w:t>
      </w:r>
    </w:p>
    <w:p w:rsidR="00FE4383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5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  <w:r w:rsidR="00FE4383" w:rsidRPr="00A7215C">
        <w:rPr>
          <w:sz w:val="24"/>
          <w:szCs w:val="24"/>
        </w:rPr>
        <w:t xml:space="preserve">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 общества вопросов распределения чистой прибыли и вопросов выплаты вознаграждения единоличному исполнительному органу, учитываются фактически достигнутые в отчетном году значения утвержденных КПЭ, а также причины отклонений от целевых значений в случае невыполнения/ перевыполнения целевых значений.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Расчет вознаграждения генеральному директору Общества осуществляется в соответствии с Положением о вознаграждении, утвержденным </w:t>
      </w:r>
      <w:r w:rsidR="00D8200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numPr>
          <w:ilvl w:val="1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В случае невыполнения целевых значений КПЭ, утвержденных </w:t>
      </w:r>
      <w:r w:rsidR="00F67D00"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584D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A7215C">
        <w:rPr>
          <w:rFonts w:ascii="Times New Roman" w:hAnsi="Times New Roman" w:cs="Times New Roman"/>
          <w:sz w:val="24"/>
          <w:szCs w:val="24"/>
        </w:rPr>
        <w:t>обоснование причин, повлекших отклонение</w:t>
      </w:r>
      <w:r w:rsidRPr="00A7215C">
        <w:rPr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461486" w:rsidRDefault="0078743A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8095699"/>
      <w:bookmarkEnd w:id="7"/>
      <w:r w:rsidRPr="00461486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8"/>
      <w:r w:rsidR="00DA2D43" w:rsidRPr="0046148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461486" w:rsidRDefault="00DA2D43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4" w:rsidRPr="00461486">
        <w:rPr>
          <w:rFonts w:ascii="Times New Roman" w:hAnsi="Times New Roman" w:cs="Times New Roman"/>
          <w:b/>
          <w:sz w:val="24"/>
          <w:szCs w:val="24"/>
        </w:rPr>
        <w:t>ключевых показателей эффективности</w:t>
      </w:r>
    </w:p>
    <w:p w:rsidR="0084628D" w:rsidRPr="00461486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sz w:val="24"/>
          <w:szCs w:val="24"/>
        </w:rPr>
        <w:t>.1.</w:t>
      </w:r>
      <w:r w:rsidR="00D61E9D" w:rsidRPr="00461486">
        <w:rPr>
          <w:rFonts w:ascii="Times New Roman" w:hAnsi="Times New Roman" w:cs="Times New Roman"/>
          <w:sz w:val="24"/>
          <w:szCs w:val="24"/>
        </w:rPr>
        <w:tab/>
      </w:r>
      <w:r w:rsidR="00CA0C53" w:rsidRPr="00461486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461486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AB5124" w:rsidRDefault="0084628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A0C53" w:rsidRPr="00461486">
        <w:rPr>
          <w:rFonts w:ascii="Times New Roman" w:hAnsi="Times New Roman" w:cs="Times New Roman"/>
          <w:sz w:val="24"/>
          <w:szCs w:val="24"/>
        </w:rPr>
        <w:t>н</w:t>
      </w:r>
      <w:r w:rsidR="0004045D" w:rsidRPr="00461486">
        <w:rPr>
          <w:rFonts w:ascii="Times New Roman" w:hAnsi="Times New Roman" w:cs="Times New Roman"/>
          <w:sz w:val="24"/>
          <w:szCs w:val="24"/>
        </w:rPr>
        <w:t>ых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B137BF">
        <w:rPr>
          <w:rFonts w:ascii="Times New Roman" w:hAnsi="Times New Roman" w:cs="Times New Roman"/>
          <w:sz w:val="24"/>
          <w:szCs w:val="24"/>
        </w:rPr>
        <w:t>–</w:t>
      </w:r>
      <w:r w:rsidR="002A47C0" w:rsidRPr="00461486">
        <w:rPr>
          <w:rFonts w:ascii="Times New Roman" w:hAnsi="Times New Roman" w:cs="Times New Roman"/>
          <w:sz w:val="24"/>
          <w:szCs w:val="24"/>
        </w:rPr>
        <w:t xml:space="preserve"> до</w:t>
      </w:r>
      <w:r w:rsidR="00B137BF" w:rsidRPr="00B137BF">
        <w:rPr>
          <w:rFonts w:ascii="Times New Roman" w:hAnsi="Times New Roman" w:cs="Times New Roman"/>
          <w:sz w:val="24"/>
          <w:szCs w:val="24"/>
        </w:rPr>
        <w:t xml:space="preserve"> </w:t>
      </w:r>
      <w:r w:rsidR="00A34AB9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46148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461486">
        <w:rPr>
          <w:rFonts w:ascii="Times New Roman" w:hAnsi="Times New Roman" w:cs="Times New Roman"/>
          <w:sz w:val="24"/>
          <w:szCs w:val="24"/>
        </w:rPr>
        <w:t>;</w:t>
      </w:r>
    </w:p>
    <w:p w:rsidR="00F111EA" w:rsidRPr="00461486" w:rsidRDefault="00F111EA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DDB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735C97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58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22 числа месяца, следующего за отчетным.</w:t>
      </w:r>
    </w:p>
    <w:p w:rsidR="0084628D" w:rsidRDefault="002F34E5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="00F111E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4045D" w:rsidRPr="00461486">
        <w:rPr>
          <w:rFonts w:ascii="Times New Roman" w:hAnsi="Times New Roman" w:cs="Times New Roman"/>
          <w:sz w:val="24"/>
          <w:szCs w:val="24"/>
        </w:rPr>
        <w:t>отчета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FF2F61">
        <w:rPr>
          <w:rFonts w:ascii="Times New Roman" w:hAnsi="Times New Roman" w:cs="Times New Roman"/>
          <w:sz w:val="24"/>
          <w:szCs w:val="24"/>
        </w:rPr>
        <w:t>–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до</w:t>
      </w:r>
      <w:r w:rsidR="00FF2F61"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461486">
        <w:rPr>
          <w:rFonts w:ascii="Times New Roman" w:hAnsi="Times New Roman" w:cs="Times New Roman"/>
          <w:sz w:val="24"/>
          <w:szCs w:val="24"/>
        </w:rPr>
        <w:t>15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461486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46148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461486">
        <w:rPr>
          <w:rFonts w:ascii="Times New Roman" w:hAnsi="Times New Roman" w:cs="Times New Roman"/>
          <w:sz w:val="24"/>
          <w:szCs w:val="24"/>
        </w:rPr>
        <w:t>.</w:t>
      </w:r>
    </w:p>
    <w:p w:rsidR="008E3C29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8E3C29" w:rsidRPr="00461486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461486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461486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461486">
        <w:rPr>
          <w:rFonts w:ascii="Times New Roman" w:hAnsi="Times New Roman" w:cs="Times New Roman"/>
          <w:sz w:val="24"/>
          <w:szCs w:val="24"/>
        </w:rPr>
        <w:t>фактически достигнутых 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BA6CBD" w:rsidRDefault="00BA6CB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7F8" w:rsidRDefault="00C427F8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120" w:rsidRPr="00461486" w:rsidRDefault="00E84120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0" w:rsidRPr="00461486" w:rsidRDefault="002C32F0" w:rsidP="00CA4E99">
      <w:pPr>
        <w:pStyle w:val="a3"/>
        <w:numPr>
          <w:ilvl w:val="0"/>
          <w:numId w:val="22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095700"/>
      <w:r w:rsidRPr="00461486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461486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461486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461486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461486" w:rsidRDefault="006201BA" w:rsidP="00CA4E99">
      <w:pPr>
        <w:pStyle w:val="a3"/>
        <w:tabs>
          <w:tab w:val="left" w:pos="0"/>
        </w:tabs>
        <w:spacing w:after="0"/>
        <w:ind w:left="714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461486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9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Toc508095701"/>
      <w:r w:rsidR="000402B6"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0"/>
    </w:p>
    <w:p w:rsidR="00584F21" w:rsidRPr="00584F21" w:rsidRDefault="000C4382" w:rsidP="00584F21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Ежемесячные </w:t>
      </w:r>
      <w:r w:rsidR="00BA6CBD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6610CD" w:rsidRPr="00584F21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584F21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584F21">
        <w:rPr>
          <w:rFonts w:ascii="Times New Roman" w:hAnsi="Times New Roman" w:cs="Times New Roman"/>
          <w:sz w:val="24"/>
          <w:szCs w:val="24"/>
        </w:rPr>
        <w:t>и</w:t>
      </w:r>
      <w:r w:rsidR="00C1725A" w:rsidRPr="00584F21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584F21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584F21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 и являются основанием для выплаты:</w:t>
      </w:r>
    </w:p>
    <w:p w:rsidR="00584F21" w:rsidRPr="00461486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ежемесячной премии менеджмента АО «Водоканал»;</w:t>
      </w:r>
    </w:p>
    <w:p w:rsidR="00584F21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Отчет о достижении КПЭ </w:t>
      </w:r>
      <w:r w:rsidRPr="00584F21">
        <w:rPr>
          <w:rFonts w:ascii="Times New Roman" w:hAnsi="Times New Roman" w:cs="Times New Roman"/>
          <w:sz w:val="24"/>
          <w:szCs w:val="24"/>
        </w:rPr>
        <w:t xml:space="preserve">по итогам квартала и года </w:t>
      </w:r>
      <w:r w:rsidR="004703BB" w:rsidRPr="00584F21">
        <w:rPr>
          <w:rFonts w:ascii="Times New Roman" w:hAnsi="Times New Roman" w:cs="Times New Roman"/>
          <w:sz w:val="24"/>
          <w:szCs w:val="24"/>
        </w:rPr>
        <w:t>рассматривается на Совете директоров общества совместно с анализом квартального, годового отчет</w:t>
      </w:r>
      <w:r w:rsidRPr="00584F21">
        <w:rPr>
          <w:rFonts w:ascii="Times New Roman" w:hAnsi="Times New Roman" w:cs="Times New Roman"/>
          <w:sz w:val="24"/>
          <w:szCs w:val="24"/>
        </w:rPr>
        <w:t>ов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 об </w:t>
      </w:r>
      <w:r w:rsidRPr="00584F21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4703BB" w:rsidRPr="00584F21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деятельности, выполнения стратегических целей с предварительным рассмотрением на комитете по стратегии.</w:t>
      </w:r>
    </w:p>
    <w:p w:rsidR="00584F21" w:rsidRDefault="004703BB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>С целью обеспечения достоверности, не реже чем ежегодно, членам Совета директоров необходимо обеспечить проверку корректности расчетов КПЭ и соответствующих корректировок, а также обоснованность премирования руководства акционерного общества (с учетом выполнения КПЭ), с привлечением членов ревизионной комиссии и представителей вн</w:t>
      </w:r>
      <w:r w:rsidR="00584F21">
        <w:rPr>
          <w:rFonts w:ascii="Times New Roman" w:hAnsi="Times New Roman" w:cs="Times New Roman"/>
          <w:sz w:val="24"/>
          <w:szCs w:val="24"/>
        </w:rPr>
        <w:t>утреннего и/или внешнего аудита.</w:t>
      </w:r>
    </w:p>
    <w:p w:rsidR="00E84120" w:rsidRDefault="00E84120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Ежегодные результаты выполнения КПЭ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до </w:t>
      </w:r>
      <w:r w:rsidRPr="00584F21">
        <w:rPr>
          <w:rFonts w:ascii="Times New Roman" w:hAnsi="Times New Roman" w:cs="Times New Roman"/>
          <w:sz w:val="24"/>
          <w:szCs w:val="24"/>
        </w:rPr>
        <w:t xml:space="preserve">рассмотрения членами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584F21">
        <w:rPr>
          <w:rFonts w:ascii="Times New Roman" w:hAnsi="Times New Roman" w:cs="Times New Roman"/>
          <w:sz w:val="24"/>
          <w:szCs w:val="24"/>
        </w:rPr>
        <w:t>предварительно оцениваются на балансовой комиссии курируемого органа исполнительной власти Республики Саха (Якутия), по результатам которой балансовой комиссией формируются рекомендации членам С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овету директоров по </w:t>
      </w:r>
      <w:r w:rsidR="00BA6CBD">
        <w:rPr>
          <w:rFonts w:ascii="Times New Roman" w:hAnsi="Times New Roman" w:cs="Times New Roman"/>
          <w:sz w:val="24"/>
          <w:szCs w:val="24"/>
        </w:rPr>
        <w:t>премированию (</w:t>
      </w:r>
      <w:proofErr w:type="spellStart"/>
      <w:r w:rsidRPr="00584F21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="00BA6CBD">
        <w:rPr>
          <w:rFonts w:ascii="Times New Roman" w:hAnsi="Times New Roman" w:cs="Times New Roman"/>
          <w:sz w:val="24"/>
          <w:szCs w:val="24"/>
        </w:rPr>
        <w:t>)</w:t>
      </w:r>
      <w:r w:rsidRPr="00584F21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</w:p>
    <w:p w:rsidR="00BA6CBD" w:rsidRPr="00BA6CBD" w:rsidRDefault="00BA6CBD" w:rsidP="00BA6CBD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Решение о премировании (</w:t>
      </w:r>
      <w:proofErr w:type="spellStart"/>
      <w:r w:rsidRPr="00A7215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A7215C">
        <w:rPr>
          <w:rFonts w:ascii="Times New Roman" w:hAnsi="Times New Roman" w:cs="Times New Roman"/>
          <w:sz w:val="24"/>
          <w:szCs w:val="24"/>
        </w:rPr>
        <w:t xml:space="preserve">) генерального директора Общества по итогам оценки результатов выполнения КПЭ принимает 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A7215C">
        <w:rPr>
          <w:rFonts w:ascii="Times New Roman" w:hAnsi="Times New Roman" w:cs="Times New Roman"/>
          <w:sz w:val="24"/>
          <w:szCs w:val="24"/>
        </w:rPr>
        <w:t>, с учетом рекомендаций отраслевой балансовой комиссии.</w:t>
      </w:r>
    </w:p>
    <w:p w:rsidR="00735C97" w:rsidRPr="00461486" w:rsidRDefault="00735C97" w:rsidP="00584F21">
      <w:pPr>
        <w:pStyle w:val="a3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B25779" w:rsidRDefault="00201F26" w:rsidP="00B25779">
      <w:pPr>
        <w:pStyle w:val="a3"/>
        <w:numPr>
          <w:ilvl w:val="0"/>
          <w:numId w:val="22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2"/>
      <w:r w:rsidRPr="00B25779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461486" w:rsidRDefault="00201F26" w:rsidP="00CA4E99">
      <w:pPr>
        <w:tabs>
          <w:tab w:val="left" w:pos="144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D65633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D65633" w:rsidRDefault="00201F26" w:rsidP="00CA4E9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должностной оклад,</w:t>
      </w:r>
      <w:r w:rsidRPr="00D65633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выплаты,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надбавки, </w:t>
      </w:r>
      <w:proofErr w:type="gramStart"/>
      <w:r w:rsidRPr="00D65633">
        <w:rPr>
          <w:rFonts w:ascii="Times New Roman" w:hAnsi="Times New Roman" w:cs="Times New Roman"/>
          <w:sz w:val="24"/>
          <w:szCs w:val="24"/>
        </w:rPr>
        <w:t>доплаты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 xml:space="preserve"> предусмотренные в соответствии с Трудовым кодексом Российской Федерации;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территориальные и районные коэффициенты за работу в районах Крайнего Севера и приравненных к ним местностях в соответствии с Т</w:t>
      </w:r>
      <w:r w:rsidR="001E2582" w:rsidRPr="00D65633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D65633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D656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5633">
        <w:rPr>
          <w:rFonts w:ascii="Times New Roman" w:hAnsi="Times New Roman" w:cs="Times New Roman"/>
          <w:sz w:val="24"/>
          <w:szCs w:val="24"/>
        </w:rPr>
        <w:t>Ф</w:t>
      </w:r>
      <w:r w:rsidR="001E2582" w:rsidRPr="00D65633">
        <w:rPr>
          <w:rFonts w:ascii="Times New Roman" w:hAnsi="Times New Roman" w:cs="Times New Roman"/>
          <w:sz w:val="24"/>
          <w:szCs w:val="24"/>
        </w:rPr>
        <w:t>едерации</w:t>
      </w:r>
      <w:r w:rsidRPr="00D65633">
        <w:rPr>
          <w:rFonts w:ascii="Times New Roman" w:hAnsi="Times New Roman" w:cs="Times New Roman"/>
          <w:sz w:val="24"/>
          <w:szCs w:val="24"/>
        </w:rPr>
        <w:t>.</w:t>
      </w:r>
      <w:r w:rsidRPr="00D65633">
        <w:rPr>
          <w:rFonts w:ascii="Times New Roman" w:hAnsi="Times New Roman" w:cs="Times New Roman"/>
          <w:sz w:val="24"/>
          <w:szCs w:val="24"/>
        </w:rPr>
        <w:tab/>
      </w:r>
    </w:p>
    <w:p w:rsidR="00201F26" w:rsidRPr="00D65633" w:rsidRDefault="00201F26" w:rsidP="00CA4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D65633">
        <w:rPr>
          <w:rFonts w:ascii="Times New Roman" w:hAnsi="Times New Roman" w:cs="Times New Roman"/>
          <w:sz w:val="24"/>
          <w:szCs w:val="24"/>
        </w:rPr>
        <w:t>ежемесячно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D65633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130"/>
        <w:gridCol w:w="2553"/>
        <w:gridCol w:w="1825"/>
        <w:gridCol w:w="2285"/>
      </w:tblGrid>
      <w:tr w:rsidR="00201F26" w:rsidRPr="00D65633" w:rsidTr="0004045D">
        <w:trPr>
          <w:trHeight w:val="687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КПЭ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D65633" w:rsidTr="0004045D">
        <w:trPr>
          <w:trHeight w:val="41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04045D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7F4DA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D65633" w:rsidTr="0004045D">
        <w:trPr>
          <w:trHeight w:val="40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D65633" w:rsidRDefault="00F63B4C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D65633" w:rsidRDefault="0088478B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D65633">
        <w:rPr>
          <w:rFonts w:ascii="Times New Roman" w:hAnsi="Times New Roman" w:cs="Times New Roman"/>
          <w:sz w:val="24"/>
          <w:szCs w:val="24"/>
        </w:rPr>
        <w:t>месяч</w:t>
      </w:r>
      <w:r w:rsidRPr="00D65633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D65633" w:rsidRDefault="001934E9" w:rsidP="00CA4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D65633" w:rsidRDefault="0088478B" w:rsidP="00CA4E99">
      <w:pPr>
        <w:ind w:firstLine="708"/>
        <w:rPr>
          <w:rFonts w:ascii="Times New Roman" w:hAnsi="Times New Roman" w:cs="Times New Roman"/>
          <w:b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где:</w:t>
      </w:r>
      <w:r w:rsidRPr="00D65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633">
        <w:rPr>
          <w:rFonts w:ascii="Times New Roman" w:hAnsi="Times New Roman" w:cs="Times New Roman"/>
        </w:rPr>
        <w:t>П</w:t>
      </w:r>
      <w:proofErr w:type="gramEnd"/>
      <w:r w:rsidRPr="00D65633">
        <w:rPr>
          <w:rFonts w:ascii="Times New Roman" w:hAnsi="Times New Roman" w:cs="Times New Roman"/>
          <w:b/>
        </w:rPr>
        <w:t xml:space="preserve"> </w:t>
      </w:r>
      <w:r w:rsidRPr="00D65633">
        <w:rPr>
          <w:rFonts w:ascii="Times New Roman" w:hAnsi="Times New Roman" w:cs="Times New Roman"/>
          <w:b/>
          <w:vertAlign w:val="subscript"/>
        </w:rPr>
        <w:t>%</w:t>
      </w:r>
      <w:r w:rsidRPr="00D65633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</w:rPr>
        <w:t>Пр</w:t>
      </w:r>
      <w:proofErr w:type="spellEnd"/>
      <w:r w:rsidRPr="00D65633">
        <w:rPr>
          <w:rFonts w:ascii="Times New Roman" w:hAnsi="Times New Roman" w:cs="Times New Roman"/>
        </w:rPr>
        <w:t xml:space="preserve">(П) </w:t>
      </w:r>
      <w:r w:rsidRPr="00D65633">
        <w:rPr>
          <w:rFonts w:ascii="Times New Roman" w:hAnsi="Times New Roman" w:cs="Times New Roman"/>
          <w:i/>
        </w:rPr>
        <w:t>– процент премирования;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  <w:i/>
        </w:rPr>
        <w:t>П</w:t>
      </w:r>
      <w:r w:rsidRPr="00D65633">
        <w:rPr>
          <w:rFonts w:ascii="Times New Roman" w:hAnsi="Times New Roman" w:cs="Times New Roman"/>
          <w:i/>
          <w:vertAlign w:val="subscript"/>
        </w:rPr>
        <w:t>макс</w:t>
      </w:r>
      <w:proofErr w:type="spellEnd"/>
      <w:r w:rsidRPr="00D65633">
        <w:rPr>
          <w:rFonts w:ascii="Times New Roman" w:hAnsi="Times New Roman" w:cs="Times New Roman"/>
          <w:i/>
          <w:vertAlign w:val="subscript"/>
        </w:rPr>
        <w:t xml:space="preserve">% </w:t>
      </w:r>
      <w:r w:rsidRPr="00D65633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D65633" w:rsidRDefault="00F63B4C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>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88478B" w:rsidRPr="00D65633">
        <w:rPr>
          <w:rFonts w:ascii="Times New Roman" w:hAnsi="Times New Roman" w:cs="Times New Roman"/>
          <w:sz w:val="24"/>
          <w:szCs w:val="24"/>
        </w:rPr>
        <w:t>но</w:t>
      </w:r>
      <w:r w:rsidR="00CF1C5A"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D65633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D65633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D65633">
        <w:rPr>
          <w:rFonts w:ascii="Times New Roman" w:hAnsi="Times New Roman" w:cs="Times New Roman"/>
          <w:sz w:val="24"/>
          <w:szCs w:val="24"/>
        </w:rPr>
        <w:t xml:space="preserve">и рассчитывается по </w:t>
      </w:r>
      <w:proofErr w:type="gramStart"/>
      <w:r w:rsidR="00F05394" w:rsidRPr="00D6563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D65633">
        <w:rPr>
          <w:rFonts w:ascii="Times New Roman" w:hAnsi="Times New Roman" w:cs="Times New Roman"/>
          <w:sz w:val="24"/>
          <w:szCs w:val="24"/>
        </w:rPr>
        <w:t>формуле</w:t>
      </w:r>
      <w:proofErr w:type="gramEnd"/>
      <w:r w:rsidR="00F05394" w:rsidRPr="00D65633">
        <w:rPr>
          <w:rFonts w:ascii="Times New Roman" w:hAnsi="Times New Roman" w:cs="Times New Roman"/>
          <w:sz w:val="24"/>
          <w:szCs w:val="24"/>
        </w:rPr>
        <w:t>:</w:t>
      </w:r>
    </w:p>
    <w:p w:rsidR="00F05394" w:rsidRPr="00D65633" w:rsidRDefault="00F05394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В.Ф. =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П</w:t>
      </w:r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(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</w:t>
      </w:r>
      <w:proofErr w:type="gramStart"/>
      <w:r w:rsidRPr="00D65633">
        <w:rPr>
          <w:rFonts w:ascii="Times New Roman" w:hAnsi="Times New Roman" w:cs="Times New Roman"/>
          <w:sz w:val="24"/>
          <w:szCs w:val="24"/>
        </w:rPr>
        <w:t>),</w:t>
      </w:r>
      <w:r w:rsidR="00F63B4C" w:rsidRPr="00D65633">
        <w:rPr>
          <w:rFonts w:ascii="Times New Roman" w:hAnsi="Times New Roman" w:cs="Times New Roman"/>
          <w:sz w:val="24"/>
          <w:szCs w:val="24"/>
        </w:rPr>
        <w:br/>
        <w:t>-----------------------</w:t>
      </w:r>
      <w:proofErr w:type="gramEnd"/>
    </w:p>
    <w:p w:rsidR="00F63B4C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65633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D65633">
        <w:rPr>
          <w:rFonts w:ascii="Times New Roman" w:hAnsi="Times New Roman" w:cs="Times New Roman"/>
          <w:sz w:val="20"/>
          <w:szCs w:val="20"/>
        </w:rPr>
        <w:t>чес</w:t>
      </w:r>
      <w:r w:rsidRPr="00D65633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</w:t>
      </w:r>
      <w:r w:rsidR="001471EE" w:rsidRPr="00D65633">
        <w:rPr>
          <w:rFonts w:ascii="Times New Roman" w:hAnsi="Times New Roman" w:cs="Times New Roman"/>
          <w:sz w:val="24"/>
          <w:szCs w:val="24"/>
        </w:rPr>
        <w:t>де</w:t>
      </w:r>
      <w:r w:rsidRPr="00D65633">
        <w:rPr>
          <w:rFonts w:ascii="Times New Roman" w:hAnsi="Times New Roman" w:cs="Times New Roman"/>
          <w:sz w:val="24"/>
          <w:szCs w:val="24"/>
        </w:rPr>
        <w:t>:</w:t>
      </w:r>
    </w:p>
    <w:p w:rsidR="00F63B4C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N</w:t>
      </w:r>
      <w:r w:rsidRPr="00D65633">
        <w:rPr>
          <w:rFonts w:ascii="Times New Roman" w:hAnsi="Times New Roman" w:cs="Times New Roman"/>
        </w:rPr>
        <w:t xml:space="preserve"> – </w:t>
      </w:r>
      <w:proofErr w:type="gramStart"/>
      <w:r w:rsidRPr="00D65633">
        <w:rPr>
          <w:rFonts w:ascii="Times New Roman" w:hAnsi="Times New Roman" w:cs="Times New Roman"/>
          <w:i/>
        </w:rPr>
        <w:t>норматив</w:t>
      </w:r>
      <w:proofErr w:type="gramEnd"/>
      <w:r w:rsidRPr="00D65633">
        <w:rPr>
          <w:rFonts w:ascii="Times New Roman" w:hAnsi="Times New Roman" w:cs="Times New Roman"/>
          <w:i/>
        </w:rPr>
        <w:t xml:space="preserve"> возн</w:t>
      </w:r>
      <w:r w:rsidR="00380C2B" w:rsidRPr="00D65633">
        <w:rPr>
          <w:rFonts w:ascii="Times New Roman" w:hAnsi="Times New Roman" w:cs="Times New Roman"/>
          <w:i/>
        </w:rPr>
        <w:t>аграждения согласно договору с</w:t>
      </w:r>
      <w:r w:rsidRPr="00D65633">
        <w:rPr>
          <w:rFonts w:ascii="Times New Roman" w:hAnsi="Times New Roman" w:cs="Times New Roman"/>
          <w:i/>
        </w:rPr>
        <w:t xml:space="preserve"> единоличным исполнительным органом АО «Водоканал»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>П</w:t>
      </w:r>
      <w:r w:rsidRPr="00D65633">
        <w:rPr>
          <w:rFonts w:ascii="Times New Roman" w:hAnsi="Times New Roman" w:cs="Times New Roman"/>
          <w:vertAlign w:val="subscript"/>
        </w:rPr>
        <w:t xml:space="preserve">о </w:t>
      </w:r>
      <w:r w:rsidRPr="00D65633">
        <w:rPr>
          <w:rFonts w:ascii="Times New Roman" w:hAnsi="Times New Roman" w:cs="Times New Roman"/>
        </w:rPr>
        <w:t xml:space="preserve">– </w:t>
      </w:r>
      <w:r w:rsidRPr="00D65633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D65633">
        <w:rPr>
          <w:rFonts w:ascii="Times New Roman" w:hAnsi="Times New Roman" w:cs="Times New Roman"/>
          <w:i/>
        </w:rPr>
        <w:t>от</w:t>
      </w:r>
      <w:r w:rsidRPr="00D65633">
        <w:rPr>
          <w:rFonts w:ascii="Times New Roman" w:hAnsi="Times New Roman" w:cs="Times New Roman"/>
          <w:i/>
        </w:rPr>
        <w:t>четный год;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vertAlign w:val="subscript"/>
        </w:rPr>
        <w:t xml:space="preserve"> </w:t>
      </w:r>
      <w:r w:rsidRPr="00D65633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D65633">
        <w:rPr>
          <w:rFonts w:ascii="Times New Roman" w:hAnsi="Times New Roman" w:cs="Times New Roman"/>
          <w:i/>
        </w:rPr>
        <w:t>утверждаемых</w:t>
      </w:r>
      <w:r w:rsidRPr="00D65633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D65633">
        <w:rPr>
          <w:rFonts w:ascii="Times New Roman" w:hAnsi="Times New Roman" w:cs="Times New Roman"/>
          <w:i/>
        </w:rPr>
        <w:t>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 – </w:t>
      </w:r>
      <w:r w:rsidRPr="00D65633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С &lt;*&gt; – </w:t>
      </w:r>
      <w:r w:rsidRPr="00D65633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</w:t>
      </w:r>
      <w:proofErr w:type="gramStart"/>
      <w:r w:rsidRPr="00D65633">
        <w:rPr>
          <w:rFonts w:ascii="Times New Roman" w:hAnsi="Times New Roman" w:cs="Times New Roman"/>
          <w:i/>
        </w:rPr>
        <w:t>себестоимость  –</w:t>
      </w:r>
      <w:proofErr w:type="gramEnd"/>
      <w:r w:rsidRPr="00D65633">
        <w:rPr>
          <w:rFonts w:ascii="Times New Roman" w:hAnsi="Times New Roman" w:cs="Times New Roman"/>
          <w:i/>
        </w:rPr>
        <w:t xml:space="preserve">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</w:t>
      </w:r>
      <w:r w:rsidRPr="00D65633">
        <w:rPr>
          <w:rFonts w:ascii="Times New Roman" w:hAnsi="Times New Roman" w:cs="Times New Roman"/>
          <w:i/>
        </w:rPr>
        <w:lastRenderedPageBreak/>
        <w:t>субсидий, направленных на разницу экономически обоснованных тарифов и льготных тарифов для населения;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КПЭ – </w:t>
      </w:r>
      <w:r w:rsidRPr="00D65633">
        <w:rPr>
          <w:rFonts w:ascii="Times New Roman" w:hAnsi="Times New Roman" w:cs="Times New Roman"/>
          <w:i/>
        </w:rPr>
        <w:t xml:space="preserve"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</w:t>
      </w:r>
      <w:r w:rsidR="00E460E5" w:rsidRPr="00D65633">
        <w:rPr>
          <w:rFonts w:ascii="Times New Roman" w:hAnsi="Times New Roman" w:cs="Times New Roman"/>
          <w:i/>
        </w:rPr>
        <w:t>показателей эффективности (КПЭ)</w:t>
      </w:r>
      <w:r w:rsidRPr="00D65633">
        <w:rPr>
          <w:rFonts w:ascii="Times New Roman" w:hAnsi="Times New Roman" w:cs="Times New Roman"/>
          <w:i/>
        </w:rPr>
        <w:t xml:space="preserve">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88478B" w:rsidRPr="00D65633" w:rsidRDefault="00F35C36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D65633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D65633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D65633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BA6CBD" w:rsidRPr="00FF2F61" w:rsidRDefault="00BA6CBD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704F" w:rsidRPr="00735C97" w:rsidRDefault="004A128D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7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735C97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735C97" w:rsidRDefault="008539A1" w:rsidP="00B25779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735C97">
        <w:rPr>
          <w:rFonts w:ascii="Times New Roman" w:hAnsi="Times New Roman" w:cs="Times New Roman"/>
          <w:sz w:val="24"/>
          <w:szCs w:val="24"/>
        </w:rPr>
        <w:t>же</w:t>
      </w:r>
      <w:r w:rsidR="0050749E" w:rsidRPr="00735C97">
        <w:rPr>
          <w:rFonts w:ascii="Times New Roman" w:hAnsi="Times New Roman" w:cs="Times New Roman"/>
          <w:sz w:val="24"/>
          <w:szCs w:val="24"/>
        </w:rPr>
        <w:t>месяч</w:t>
      </w:r>
      <w:r w:rsidR="00D479F0" w:rsidRPr="00735C97">
        <w:rPr>
          <w:rFonts w:ascii="Times New Roman" w:hAnsi="Times New Roman" w:cs="Times New Roman"/>
          <w:sz w:val="24"/>
          <w:szCs w:val="24"/>
        </w:rPr>
        <w:t>н</w:t>
      </w:r>
      <w:r w:rsidR="002F4B7B" w:rsidRPr="00735C97">
        <w:rPr>
          <w:rFonts w:ascii="Times New Roman" w:hAnsi="Times New Roman" w:cs="Times New Roman"/>
          <w:sz w:val="24"/>
          <w:szCs w:val="24"/>
        </w:rPr>
        <w:t>о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735C97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735C97">
        <w:rPr>
          <w:rFonts w:ascii="Times New Roman" w:hAnsi="Times New Roman" w:cs="Times New Roman"/>
          <w:sz w:val="24"/>
          <w:szCs w:val="24"/>
        </w:rPr>
        <w:t>я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735C97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735C97">
        <w:rPr>
          <w:rFonts w:ascii="Times New Roman" w:hAnsi="Times New Roman" w:cs="Times New Roman"/>
          <w:sz w:val="24"/>
          <w:szCs w:val="24"/>
        </w:rPr>
        <w:t>м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>отчет</w:t>
      </w:r>
      <w:r w:rsidR="0088478B" w:rsidRPr="00735C97">
        <w:rPr>
          <w:rFonts w:ascii="Times New Roman" w:hAnsi="Times New Roman" w:cs="Times New Roman"/>
          <w:sz w:val="24"/>
          <w:szCs w:val="24"/>
        </w:rPr>
        <w:t>ам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24204D" w:rsidRPr="00B25779" w:rsidRDefault="00A500AC" w:rsidP="00B25779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79">
        <w:rPr>
          <w:rFonts w:ascii="Times New Roman" w:hAnsi="Times New Roman" w:cs="Times New Roman"/>
          <w:sz w:val="24"/>
          <w:szCs w:val="24"/>
        </w:rPr>
        <w:t>Еже</w:t>
      </w:r>
      <w:r w:rsidR="0050749E" w:rsidRPr="00B25779">
        <w:rPr>
          <w:rFonts w:ascii="Times New Roman" w:hAnsi="Times New Roman" w:cs="Times New Roman"/>
          <w:sz w:val="24"/>
          <w:szCs w:val="24"/>
        </w:rPr>
        <w:t>месяч</w:t>
      </w:r>
      <w:r w:rsidRPr="00B25779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B25779">
        <w:rPr>
          <w:rFonts w:ascii="Times New Roman" w:hAnsi="Times New Roman" w:cs="Times New Roman"/>
          <w:sz w:val="24"/>
          <w:szCs w:val="24"/>
        </w:rPr>
        <w:t>премирование</w:t>
      </w:r>
      <w:r w:rsidRPr="00B25779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B25779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B25779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B25779">
        <w:rPr>
          <w:rFonts w:ascii="Times New Roman" w:hAnsi="Times New Roman" w:cs="Times New Roman"/>
          <w:sz w:val="24"/>
          <w:szCs w:val="24"/>
        </w:rPr>
        <w:t>производится</w:t>
      </w:r>
      <w:r w:rsidRPr="00B25779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8E7415" w:rsidRPr="00461486" w:rsidRDefault="008E7415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486">
        <w:rPr>
          <w:rFonts w:ascii="Times New Roman" w:hAnsi="Times New Roman" w:cs="Times New Roman"/>
          <w:b/>
          <w:sz w:val="24"/>
          <w:szCs w:val="24"/>
        </w:rPr>
        <w:t>Депремирование</w:t>
      </w:r>
      <w:proofErr w:type="spellEnd"/>
    </w:p>
    <w:p w:rsidR="00FF2F61" w:rsidRDefault="00735C97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 xml:space="preserve">По итогам отчетного года при расчете годового вознаграждения генерального директора АО «Водоканал» </w:t>
      </w:r>
      <w:r w:rsidR="008E7415" w:rsidRPr="00461486">
        <w:rPr>
          <w:rFonts w:ascii="Times New Roman" w:hAnsi="Times New Roman" w:cs="Times New Roman"/>
          <w:sz w:val="24"/>
          <w:szCs w:val="24"/>
        </w:rPr>
        <w:t xml:space="preserve">устанавливаются следующие показатели </w:t>
      </w:r>
      <w:proofErr w:type="spellStart"/>
      <w:r w:rsidR="00FF2F61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="00FF2F61">
        <w:rPr>
          <w:rFonts w:ascii="Times New Roman" w:hAnsi="Times New Roman" w:cs="Times New Roman"/>
          <w:sz w:val="24"/>
          <w:szCs w:val="24"/>
        </w:rPr>
        <w:t xml:space="preserve"> генерального директора АО «Водоканал»: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заработной плате (Статистический отчет).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налогам и сборам (Справка о наличии просроченной задолженности по налогам и сборам Федеральной налоговой службы).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Количество несчастных случаев на производстве (статистический отчет </w:t>
      </w:r>
      <w:r w:rsidR="00735C97" w:rsidRPr="00BA6CBD">
        <w:rPr>
          <w:rFonts w:ascii="Times New Roman" w:hAnsi="Times New Roman" w:cs="Times New Roman"/>
          <w:sz w:val="24"/>
          <w:szCs w:val="24"/>
        </w:rPr>
        <w:t>7</w:t>
      </w:r>
      <w:r w:rsidRPr="00BA6CBD">
        <w:rPr>
          <w:rFonts w:ascii="Times New Roman" w:hAnsi="Times New Roman" w:cs="Times New Roman"/>
          <w:sz w:val="24"/>
          <w:szCs w:val="24"/>
        </w:rPr>
        <w:t>-травматизм</w:t>
      </w:r>
      <w:r w:rsidR="00735C97" w:rsidRPr="00BA6CBD">
        <w:rPr>
          <w:rFonts w:ascii="Times New Roman" w:hAnsi="Times New Roman" w:cs="Times New Roman"/>
          <w:sz w:val="24"/>
          <w:szCs w:val="24"/>
        </w:rPr>
        <w:t xml:space="preserve"> «Сведения о травматизме на производстве и профессиональных заболеваниях»</w:t>
      </w:r>
      <w:r w:rsidRPr="00BA6CBD">
        <w:rPr>
          <w:rFonts w:ascii="Times New Roman" w:hAnsi="Times New Roman" w:cs="Times New Roman"/>
          <w:sz w:val="24"/>
          <w:szCs w:val="24"/>
        </w:rPr>
        <w:t>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Исполнение инвестиционной программы Общества (Отчет об исполнении инвестиционной программы согласно установленной формы Министерства жилищно-коммунального хозяйства РС (Я).</w:t>
      </w:r>
    </w:p>
    <w:p w:rsidR="00BA6CBD" w:rsidRDefault="0082440F" w:rsidP="00BA6CB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40F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Pr="0082440F">
        <w:rPr>
          <w:rFonts w:ascii="Times New Roman" w:hAnsi="Times New Roman" w:cs="Times New Roman"/>
          <w:sz w:val="24"/>
          <w:szCs w:val="24"/>
        </w:rPr>
        <w:t xml:space="preserve"> (уменьшение годового вознаграждения на 5% за каждый показатель)</w:t>
      </w:r>
      <w:r w:rsidR="00735C97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201F26" w:rsidRPr="00461486" w:rsidRDefault="0084628D" w:rsidP="00BA6CB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b/>
          <w:sz w:val="24"/>
          <w:szCs w:val="24"/>
        </w:rPr>
        <w:t>0</w:t>
      </w:r>
      <w:r w:rsidRPr="00461486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4614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07F6" w:rsidRPr="00461486" w:rsidRDefault="0078743A" w:rsidP="00CA4E99">
      <w:pPr>
        <w:pStyle w:val="a3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sz w:val="24"/>
          <w:szCs w:val="24"/>
        </w:rPr>
        <w:t>0</w:t>
      </w:r>
      <w:r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461486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с 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201F26" w:rsidRPr="00461486">
        <w:rPr>
          <w:rFonts w:ascii="Times New Roman" w:hAnsi="Times New Roman" w:cs="Times New Roman"/>
          <w:sz w:val="24"/>
          <w:szCs w:val="24"/>
        </w:rPr>
        <w:t>.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9D60FE" w:rsidRPr="00461486">
        <w:rPr>
          <w:rFonts w:ascii="Times New Roman" w:hAnsi="Times New Roman" w:cs="Times New Roman"/>
          <w:sz w:val="24"/>
          <w:szCs w:val="24"/>
        </w:rPr>
        <w:t>.</w:t>
      </w:r>
      <w:r w:rsidR="00C6704F" w:rsidRPr="00461486">
        <w:rPr>
          <w:rFonts w:ascii="Times New Roman" w:hAnsi="Times New Roman" w:cs="Times New Roman"/>
          <w:sz w:val="24"/>
          <w:szCs w:val="24"/>
        </w:rPr>
        <w:t>20</w:t>
      </w:r>
      <w:r w:rsidR="0082440F">
        <w:rPr>
          <w:rFonts w:ascii="Times New Roman" w:hAnsi="Times New Roman" w:cs="Times New Roman"/>
          <w:sz w:val="24"/>
          <w:szCs w:val="24"/>
        </w:rPr>
        <w:t>20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года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CA4E99">
      <w:pPr>
        <w:tabs>
          <w:tab w:val="left" w:pos="142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461486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461486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 директоров. </w:t>
      </w:r>
    </w:p>
    <w:sectPr w:rsidR="005107F6" w:rsidRPr="00461486" w:rsidSect="001A0611">
      <w:footerReference w:type="default" r:id="rId11"/>
      <w:footerReference w:type="first" r:id="rId12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79" w:rsidRDefault="00C77A79" w:rsidP="002F2873">
      <w:pPr>
        <w:spacing w:after="0" w:line="240" w:lineRule="auto"/>
      </w:pPr>
      <w:r>
        <w:separator/>
      </w:r>
    </w:p>
  </w:endnote>
  <w:endnote w:type="continuationSeparator" w:id="0">
    <w:p w:rsidR="00C77A79" w:rsidRDefault="00C77A79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7785"/>
      <w:docPartObj>
        <w:docPartGallery w:val="Page Numbers (Bottom of Page)"/>
        <w:docPartUnique/>
      </w:docPartObj>
    </w:sdtPr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E9" w:rsidRDefault="001934E9">
    <w:pPr>
      <w:pStyle w:val="a6"/>
      <w:jc w:val="right"/>
    </w:pPr>
  </w:p>
  <w:p w:rsidR="001934E9" w:rsidRDefault="001934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0"/>
      <w:docPartObj>
        <w:docPartGallery w:val="Page Numbers (Bottom of Page)"/>
        <w:docPartUnique/>
      </w:docPartObj>
    </w:sdtPr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B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1"/>
      <w:docPartObj>
        <w:docPartGallery w:val="Page Numbers (Bottom of Page)"/>
        <w:docPartUnique/>
      </w:docPartObj>
    </w:sdtPr>
    <w:sdtContent>
      <w:p w:rsidR="001934E9" w:rsidRDefault="001934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34E9" w:rsidRDefault="001934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79" w:rsidRDefault="00C77A79" w:rsidP="002F2873">
      <w:pPr>
        <w:spacing w:after="0" w:line="240" w:lineRule="auto"/>
      </w:pPr>
      <w:r>
        <w:separator/>
      </w:r>
    </w:p>
  </w:footnote>
  <w:footnote w:type="continuationSeparator" w:id="0">
    <w:p w:rsidR="00C77A79" w:rsidRDefault="00C77A79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AB32880"/>
    <w:multiLevelType w:val="multilevel"/>
    <w:tmpl w:val="EF74B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15548"/>
    <w:multiLevelType w:val="hybridMultilevel"/>
    <w:tmpl w:val="A73E8A00"/>
    <w:lvl w:ilvl="0" w:tplc="7FA69F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>
    <w:nsid w:val="16A73CDB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30B24E8"/>
    <w:multiLevelType w:val="multilevel"/>
    <w:tmpl w:val="05A86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FB076F"/>
    <w:multiLevelType w:val="multilevel"/>
    <w:tmpl w:val="F5F42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7408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CEB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9C528F"/>
    <w:multiLevelType w:val="hybridMultilevel"/>
    <w:tmpl w:val="475E6D68"/>
    <w:lvl w:ilvl="0" w:tplc="F1FE5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9FC"/>
    <w:multiLevelType w:val="multilevel"/>
    <w:tmpl w:val="E3582B36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7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7C9F3F54"/>
    <w:multiLevelType w:val="hybridMultilevel"/>
    <w:tmpl w:val="23A0125E"/>
    <w:lvl w:ilvl="0" w:tplc="49244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9"/>
  </w:num>
  <w:num w:numId="5">
    <w:abstractNumId w:val="23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21"/>
  </w:num>
  <w:num w:numId="11">
    <w:abstractNumId w:val="16"/>
  </w:num>
  <w:num w:numId="12">
    <w:abstractNumId w:val="31"/>
  </w:num>
  <w:num w:numId="13">
    <w:abstractNumId w:val="0"/>
  </w:num>
  <w:num w:numId="14">
    <w:abstractNumId w:val="27"/>
  </w:num>
  <w:num w:numId="15">
    <w:abstractNumId w:val="30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22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0"/>
  </w:num>
  <w:num w:numId="26">
    <w:abstractNumId w:val="18"/>
  </w:num>
  <w:num w:numId="27">
    <w:abstractNumId w:val="28"/>
  </w:num>
  <w:num w:numId="28">
    <w:abstractNumId w:val="4"/>
  </w:num>
  <w:num w:numId="29">
    <w:abstractNumId w:val="15"/>
  </w:num>
  <w:num w:numId="30">
    <w:abstractNumId w:val="7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072E0"/>
    <w:rsid w:val="00007AF1"/>
    <w:rsid w:val="000210C2"/>
    <w:rsid w:val="000239E5"/>
    <w:rsid w:val="000274B9"/>
    <w:rsid w:val="000308C8"/>
    <w:rsid w:val="0003186C"/>
    <w:rsid w:val="00033831"/>
    <w:rsid w:val="00033DF3"/>
    <w:rsid w:val="000366F3"/>
    <w:rsid w:val="00037277"/>
    <w:rsid w:val="000402B6"/>
    <w:rsid w:val="0004045D"/>
    <w:rsid w:val="00042855"/>
    <w:rsid w:val="000441C3"/>
    <w:rsid w:val="000442F2"/>
    <w:rsid w:val="00045D72"/>
    <w:rsid w:val="00047BA2"/>
    <w:rsid w:val="000519F3"/>
    <w:rsid w:val="00051E93"/>
    <w:rsid w:val="0006288E"/>
    <w:rsid w:val="00062977"/>
    <w:rsid w:val="0006299E"/>
    <w:rsid w:val="00063B57"/>
    <w:rsid w:val="00064814"/>
    <w:rsid w:val="000673A9"/>
    <w:rsid w:val="00075F07"/>
    <w:rsid w:val="00076733"/>
    <w:rsid w:val="00080472"/>
    <w:rsid w:val="00081266"/>
    <w:rsid w:val="00085013"/>
    <w:rsid w:val="00092329"/>
    <w:rsid w:val="00092D9A"/>
    <w:rsid w:val="00094003"/>
    <w:rsid w:val="000952BB"/>
    <w:rsid w:val="000B027B"/>
    <w:rsid w:val="000B0A91"/>
    <w:rsid w:val="000B60EC"/>
    <w:rsid w:val="000C0D41"/>
    <w:rsid w:val="000C4382"/>
    <w:rsid w:val="000C69F0"/>
    <w:rsid w:val="000D0EAF"/>
    <w:rsid w:val="000E26D6"/>
    <w:rsid w:val="000E650F"/>
    <w:rsid w:val="000F12D0"/>
    <w:rsid w:val="000F6DA1"/>
    <w:rsid w:val="00101C87"/>
    <w:rsid w:val="00110138"/>
    <w:rsid w:val="00121A34"/>
    <w:rsid w:val="00126C54"/>
    <w:rsid w:val="0012766B"/>
    <w:rsid w:val="00127798"/>
    <w:rsid w:val="00127FF9"/>
    <w:rsid w:val="001309D3"/>
    <w:rsid w:val="0013492B"/>
    <w:rsid w:val="00141DBC"/>
    <w:rsid w:val="001424EA"/>
    <w:rsid w:val="001456E3"/>
    <w:rsid w:val="00145ED1"/>
    <w:rsid w:val="00146E4E"/>
    <w:rsid w:val="001471EE"/>
    <w:rsid w:val="00160DE6"/>
    <w:rsid w:val="0017291A"/>
    <w:rsid w:val="00172AFD"/>
    <w:rsid w:val="001778E7"/>
    <w:rsid w:val="0018433C"/>
    <w:rsid w:val="00191091"/>
    <w:rsid w:val="00191283"/>
    <w:rsid w:val="00192C21"/>
    <w:rsid w:val="001934E9"/>
    <w:rsid w:val="001954B7"/>
    <w:rsid w:val="001A0611"/>
    <w:rsid w:val="001A0F07"/>
    <w:rsid w:val="001A3068"/>
    <w:rsid w:val="001B397E"/>
    <w:rsid w:val="001C049B"/>
    <w:rsid w:val="001C10E5"/>
    <w:rsid w:val="001C672E"/>
    <w:rsid w:val="001C6F05"/>
    <w:rsid w:val="001C7AB0"/>
    <w:rsid w:val="001D031A"/>
    <w:rsid w:val="001D17D4"/>
    <w:rsid w:val="001E2582"/>
    <w:rsid w:val="001F30B0"/>
    <w:rsid w:val="00201A75"/>
    <w:rsid w:val="00201F26"/>
    <w:rsid w:val="0021021B"/>
    <w:rsid w:val="002105A7"/>
    <w:rsid w:val="00212E8A"/>
    <w:rsid w:val="00216389"/>
    <w:rsid w:val="002168F3"/>
    <w:rsid w:val="00220069"/>
    <w:rsid w:val="00220822"/>
    <w:rsid w:val="00223926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711A"/>
    <w:rsid w:val="002549B2"/>
    <w:rsid w:val="00262306"/>
    <w:rsid w:val="002626A7"/>
    <w:rsid w:val="002703EC"/>
    <w:rsid w:val="00270A4B"/>
    <w:rsid w:val="002765A4"/>
    <w:rsid w:val="00290218"/>
    <w:rsid w:val="00290A58"/>
    <w:rsid w:val="00291406"/>
    <w:rsid w:val="002919AA"/>
    <w:rsid w:val="00292A86"/>
    <w:rsid w:val="00293CC8"/>
    <w:rsid w:val="00295E2D"/>
    <w:rsid w:val="00296645"/>
    <w:rsid w:val="002A47C0"/>
    <w:rsid w:val="002A5E9F"/>
    <w:rsid w:val="002B030A"/>
    <w:rsid w:val="002C32F0"/>
    <w:rsid w:val="002C543C"/>
    <w:rsid w:val="002D6C7A"/>
    <w:rsid w:val="002E5C48"/>
    <w:rsid w:val="002F2873"/>
    <w:rsid w:val="002F2B4F"/>
    <w:rsid w:val="002F34E5"/>
    <w:rsid w:val="002F4B7B"/>
    <w:rsid w:val="00300691"/>
    <w:rsid w:val="00310838"/>
    <w:rsid w:val="00311589"/>
    <w:rsid w:val="003125A8"/>
    <w:rsid w:val="003125D2"/>
    <w:rsid w:val="00326E0E"/>
    <w:rsid w:val="0032753E"/>
    <w:rsid w:val="00327A73"/>
    <w:rsid w:val="00327BCD"/>
    <w:rsid w:val="00331785"/>
    <w:rsid w:val="00337224"/>
    <w:rsid w:val="00341E42"/>
    <w:rsid w:val="00345C82"/>
    <w:rsid w:val="003501C5"/>
    <w:rsid w:val="00364404"/>
    <w:rsid w:val="00366144"/>
    <w:rsid w:val="00372574"/>
    <w:rsid w:val="00372B95"/>
    <w:rsid w:val="00373747"/>
    <w:rsid w:val="003745F8"/>
    <w:rsid w:val="003746E9"/>
    <w:rsid w:val="00380C2B"/>
    <w:rsid w:val="003813E0"/>
    <w:rsid w:val="00381EF5"/>
    <w:rsid w:val="00384596"/>
    <w:rsid w:val="003849C5"/>
    <w:rsid w:val="00384B4D"/>
    <w:rsid w:val="00386B19"/>
    <w:rsid w:val="00390C61"/>
    <w:rsid w:val="003A32F8"/>
    <w:rsid w:val="003A5FFF"/>
    <w:rsid w:val="003B6E30"/>
    <w:rsid w:val="003C11C7"/>
    <w:rsid w:val="003C36FE"/>
    <w:rsid w:val="003C6A4F"/>
    <w:rsid w:val="003C6D1E"/>
    <w:rsid w:val="003C6F06"/>
    <w:rsid w:val="003D3379"/>
    <w:rsid w:val="003D3D3C"/>
    <w:rsid w:val="003E51B4"/>
    <w:rsid w:val="003E75DC"/>
    <w:rsid w:val="003F0703"/>
    <w:rsid w:val="003F23BA"/>
    <w:rsid w:val="003F50D7"/>
    <w:rsid w:val="003F7E78"/>
    <w:rsid w:val="0040024D"/>
    <w:rsid w:val="00400B4A"/>
    <w:rsid w:val="00405997"/>
    <w:rsid w:val="00410A10"/>
    <w:rsid w:val="004117D9"/>
    <w:rsid w:val="00413B96"/>
    <w:rsid w:val="004147F5"/>
    <w:rsid w:val="004175CF"/>
    <w:rsid w:val="0042251B"/>
    <w:rsid w:val="00442EA3"/>
    <w:rsid w:val="00445881"/>
    <w:rsid w:val="00456268"/>
    <w:rsid w:val="00461486"/>
    <w:rsid w:val="00462E67"/>
    <w:rsid w:val="00463DD5"/>
    <w:rsid w:val="004703BB"/>
    <w:rsid w:val="0047774D"/>
    <w:rsid w:val="00487D53"/>
    <w:rsid w:val="00487FD9"/>
    <w:rsid w:val="004A128D"/>
    <w:rsid w:val="004A19FE"/>
    <w:rsid w:val="004A3773"/>
    <w:rsid w:val="004B3B8A"/>
    <w:rsid w:val="004B5EED"/>
    <w:rsid w:val="004C1678"/>
    <w:rsid w:val="004C1A05"/>
    <w:rsid w:val="004C1D76"/>
    <w:rsid w:val="004C2834"/>
    <w:rsid w:val="004C5C77"/>
    <w:rsid w:val="004C6165"/>
    <w:rsid w:val="004C6DDB"/>
    <w:rsid w:val="004D5CBA"/>
    <w:rsid w:val="004D612F"/>
    <w:rsid w:val="004F16E8"/>
    <w:rsid w:val="004F2777"/>
    <w:rsid w:val="004F3C27"/>
    <w:rsid w:val="004F4185"/>
    <w:rsid w:val="00500E57"/>
    <w:rsid w:val="00501E13"/>
    <w:rsid w:val="00502D27"/>
    <w:rsid w:val="00506797"/>
    <w:rsid w:val="0050749E"/>
    <w:rsid w:val="005107F6"/>
    <w:rsid w:val="00510A20"/>
    <w:rsid w:val="00515C65"/>
    <w:rsid w:val="005213C6"/>
    <w:rsid w:val="0053153C"/>
    <w:rsid w:val="00534043"/>
    <w:rsid w:val="00534403"/>
    <w:rsid w:val="00542F12"/>
    <w:rsid w:val="00545E45"/>
    <w:rsid w:val="0054704D"/>
    <w:rsid w:val="005478CE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77242"/>
    <w:rsid w:val="00581437"/>
    <w:rsid w:val="005823C6"/>
    <w:rsid w:val="0058354E"/>
    <w:rsid w:val="00584DDB"/>
    <w:rsid w:val="00584F21"/>
    <w:rsid w:val="005868EB"/>
    <w:rsid w:val="00591BF1"/>
    <w:rsid w:val="005A1215"/>
    <w:rsid w:val="005B0D4E"/>
    <w:rsid w:val="005B1B61"/>
    <w:rsid w:val="005B37AE"/>
    <w:rsid w:val="005B426C"/>
    <w:rsid w:val="005B56B5"/>
    <w:rsid w:val="005B6E70"/>
    <w:rsid w:val="005B74E8"/>
    <w:rsid w:val="005D15C3"/>
    <w:rsid w:val="005D5127"/>
    <w:rsid w:val="005D5F04"/>
    <w:rsid w:val="005E7D72"/>
    <w:rsid w:val="005F0E0C"/>
    <w:rsid w:val="005F4F26"/>
    <w:rsid w:val="005F5B55"/>
    <w:rsid w:val="005F72D2"/>
    <w:rsid w:val="0060139F"/>
    <w:rsid w:val="006030C2"/>
    <w:rsid w:val="00611D18"/>
    <w:rsid w:val="00614BCB"/>
    <w:rsid w:val="00615CBA"/>
    <w:rsid w:val="006201BA"/>
    <w:rsid w:val="006225D5"/>
    <w:rsid w:val="00627014"/>
    <w:rsid w:val="00634F5E"/>
    <w:rsid w:val="006416AF"/>
    <w:rsid w:val="006433E9"/>
    <w:rsid w:val="00644FE9"/>
    <w:rsid w:val="00645C5A"/>
    <w:rsid w:val="006610CD"/>
    <w:rsid w:val="00662057"/>
    <w:rsid w:val="00673805"/>
    <w:rsid w:val="00686668"/>
    <w:rsid w:val="00690F5E"/>
    <w:rsid w:val="00691C8C"/>
    <w:rsid w:val="006935AF"/>
    <w:rsid w:val="00694513"/>
    <w:rsid w:val="0069720E"/>
    <w:rsid w:val="006A5438"/>
    <w:rsid w:val="006A6508"/>
    <w:rsid w:val="006A798B"/>
    <w:rsid w:val="006B142C"/>
    <w:rsid w:val="006B1FE7"/>
    <w:rsid w:val="006B32B0"/>
    <w:rsid w:val="006C2D88"/>
    <w:rsid w:val="006C439A"/>
    <w:rsid w:val="006D41B2"/>
    <w:rsid w:val="006E39CD"/>
    <w:rsid w:val="006F31D5"/>
    <w:rsid w:val="00700E08"/>
    <w:rsid w:val="00705EB8"/>
    <w:rsid w:val="00725526"/>
    <w:rsid w:val="007261EA"/>
    <w:rsid w:val="00732CC6"/>
    <w:rsid w:val="00734F50"/>
    <w:rsid w:val="007354FC"/>
    <w:rsid w:val="00735C97"/>
    <w:rsid w:val="00736521"/>
    <w:rsid w:val="00744622"/>
    <w:rsid w:val="007478CF"/>
    <w:rsid w:val="007540EF"/>
    <w:rsid w:val="00754E76"/>
    <w:rsid w:val="00762385"/>
    <w:rsid w:val="00766169"/>
    <w:rsid w:val="00773951"/>
    <w:rsid w:val="00781508"/>
    <w:rsid w:val="00786E75"/>
    <w:rsid w:val="0078743A"/>
    <w:rsid w:val="00793B50"/>
    <w:rsid w:val="0079410D"/>
    <w:rsid w:val="00797BC2"/>
    <w:rsid w:val="007A016C"/>
    <w:rsid w:val="007A0A52"/>
    <w:rsid w:val="007A448F"/>
    <w:rsid w:val="007A4B5A"/>
    <w:rsid w:val="007B4FDA"/>
    <w:rsid w:val="007C795A"/>
    <w:rsid w:val="007D2FA5"/>
    <w:rsid w:val="007D4AB6"/>
    <w:rsid w:val="007E6794"/>
    <w:rsid w:val="007F20C4"/>
    <w:rsid w:val="007F3F4D"/>
    <w:rsid w:val="007F419E"/>
    <w:rsid w:val="007F47DA"/>
    <w:rsid w:val="007F4ADA"/>
    <w:rsid w:val="007F4DA5"/>
    <w:rsid w:val="007F765B"/>
    <w:rsid w:val="008162FE"/>
    <w:rsid w:val="0082388C"/>
    <w:rsid w:val="0082440F"/>
    <w:rsid w:val="008320EE"/>
    <w:rsid w:val="00837930"/>
    <w:rsid w:val="00842016"/>
    <w:rsid w:val="00845EF5"/>
    <w:rsid w:val="0084628D"/>
    <w:rsid w:val="00851E44"/>
    <w:rsid w:val="008539A1"/>
    <w:rsid w:val="00855A9E"/>
    <w:rsid w:val="008655AA"/>
    <w:rsid w:val="0087484A"/>
    <w:rsid w:val="00874AB5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4728"/>
    <w:rsid w:val="008A478D"/>
    <w:rsid w:val="008B2EE0"/>
    <w:rsid w:val="008B4131"/>
    <w:rsid w:val="008D1929"/>
    <w:rsid w:val="008D2D75"/>
    <w:rsid w:val="008D4109"/>
    <w:rsid w:val="008D7321"/>
    <w:rsid w:val="008E3C29"/>
    <w:rsid w:val="008E4C37"/>
    <w:rsid w:val="008E7415"/>
    <w:rsid w:val="008F3D73"/>
    <w:rsid w:val="008F3FDD"/>
    <w:rsid w:val="008F52DC"/>
    <w:rsid w:val="008F7DC1"/>
    <w:rsid w:val="008F7F23"/>
    <w:rsid w:val="0090031D"/>
    <w:rsid w:val="009009F7"/>
    <w:rsid w:val="00900BE6"/>
    <w:rsid w:val="00903D9D"/>
    <w:rsid w:val="00910C8C"/>
    <w:rsid w:val="00910FA9"/>
    <w:rsid w:val="00912565"/>
    <w:rsid w:val="00912CA8"/>
    <w:rsid w:val="00920856"/>
    <w:rsid w:val="00922FB3"/>
    <w:rsid w:val="00931E5B"/>
    <w:rsid w:val="00937326"/>
    <w:rsid w:val="00950CE7"/>
    <w:rsid w:val="00952250"/>
    <w:rsid w:val="0095391A"/>
    <w:rsid w:val="0095676D"/>
    <w:rsid w:val="0095741B"/>
    <w:rsid w:val="009578C9"/>
    <w:rsid w:val="00961F8C"/>
    <w:rsid w:val="00967EDF"/>
    <w:rsid w:val="00977D06"/>
    <w:rsid w:val="009809C5"/>
    <w:rsid w:val="00981FA1"/>
    <w:rsid w:val="00982231"/>
    <w:rsid w:val="00983361"/>
    <w:rsid w:val="00984C63"/>
    <w:rsid w:val="00987AAC"/>
    <w:rsid w:val="0099106E"/>
    <w:rsid w:val="00992052"/>
    <w:rsid w:val="00992E1D"/>
    <w:rsid w:val="00994C4F"/>
    <w:rsid w:val="009A2668"/>
    <w:rsid w:val="009A3E0D"/>
    <w:rsid w:val="009A4B64"/>
    <w:rsid w:val="009B4682"/>
    <w:rsid w:val="009B4A33"/>
    <w:rsid w:val="009B6040"/>
    <w:rsid w:val="009B7396"/>
    <w:rsid w:val="009C2354"/>
    <w:rsid w:val="009C3444"/>
    <w:rsid w:val="009C740D"/>
    <w:rsid w:val="009D2E33"/>
    <w:rsid w:val="009D36E1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225D"/>
    <w:rsid w:val="00A03270"/>
    <w:rsid w:val="00A12A6B"/>
    <w:rsid w:val="00A12E9B"/>
    <w:rsid w:val="00A169BB"/>
    <w:rsid w:val="00A2629F"/>
    <w:rsid w:val="00A30ED2"/>
    <w:rsid w:val="00A32EAB"/>
    <w:rsid w:val="00A34AB9"/>
    <w:rsid w:val="00A372D7"/>
    <w:rsid w:val="00A3745C"/>
    <w:rsid w:val="00A37D25"/>
    <w:rsid w:val="00A4466B"/>
    <w:rsid w:val="00A47A7C"/>
    <w:rsid w:val="00A500AC"/>
    <w:rsid w:val="00A5588A"/>
    <w:rsid w:val="00A61D09"/>
    <w:rsid w:val="00A63E58"/>
    <w:rsid w:val="00A65B07"/>
    <w:rsid w:val="00A7215C"/>
    <w:rsid w:val="00A72A48"/>
    <w:rsid w:val="00A74AA3"/>
    <w:rsid w:val="00A74C28"/>
    <w:rsid w:val="00A74ED7"/>
    <w:rsid w:val="00A82FF7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AE22D2"/>
    <w:rsid w:val="00B00519"/>
    <w:rsid w:val="00B063B2"/>
    <w:rsid w:val="00B12235"/>
    <w:rsid w:val="00B137BF"/>
    <w:rsid w:val="00B21040"/>
    <w:rsid w:val="00B2262B"/>
    <w:rsid w:val="00B25779"/>
    <w:rsid w:val="00B259F7"/>
    <w:rsid w:val="00B41FD8"/>
    <w:rsid w:val="00B45E56"/>
    <w:rsid w:val="00B515C4"/>
    <w:rsid w:val="00B56C16"/>
    <w:rsid w:val="00B60A99"/>
    <w:rsid w:val="00B6437A"/>
    <w:rsid w:val="00B64BDE"/>
    <w:rsid w:val="00B66727"/>
    <w:rsid w:val="00B66D87"/>
    <w:rsid w:val="00B73338"/>
    <w:rsid w:val="00B91526"/>
    <w:rsid w:val="00B91D4A"/>
    <w:rsid w:val="00B923A3"/>
    <w:rsid w:val="00B940C3"/>
    <w:rsid w:val="00B94A7F"/>
    <w:rsid w:val="00B95468"/>
    <w:rsid w:val="00B96CE8"/>
    <w:rsid w:val="00BA199B"/>
    <w:rsid w:val="00BA6CBD"/>
    <w:rsid w:val="00BB0F6D"/>
    <w:rsid w:val="00BB593B"/>
    <w:rsid w:val="00BB5EEA"/>
    <w:rsid w:val="00BC110F"/>
    <w:rsid w:val="00BC3381"/>
    <w:rsid w:val="00BC412C"/>
    <w:rsid w:val="00BC5680"/>
    <w:rsid w:val="00BC66F8"/>
    <w:rsid w:val="00BD2417"/>
    <w:rsid w:val="00BD45BC"/>
    <w:rsid w:val="00BD659C"/>
    <w:rsid w:val="00BE165F"/>
    <w:rsid w:val="00BE4C0B"/>
    <w:rsid w:val="00BF4B40"/>
    <w:rsid w:val="00BF6085"/>
    <w:rsid w:val="00BF7A5F"/>
    <w:rsid w:val="00C1322F"/>
    <w:rsid w:val="00C1725A"/>
    <w:rsid w:val="00C26409"/>
    <w:rsid w:val="00C32D21"/>
    <w:rsid w:val="00C3329E"/>
    <w:rsid w:val="00C33462"/>
    <w:rsid w:val="00C427F8"/>
    <w:rsid w:val="00C4372A"/>
    <w:rsid w:val="00C44A0E"/>
    <w:rsid w:val="00C4711C"/>
    <w:rsid w:val="00C50C40"/>
    <w:rsid w:val="00C57726"/>
    <w:rsid w:val="00C603E2"/>
    <w:rsid w:val="00C634D8"/>
    <w:rsid w:val="00C6420D"/>
    <w:rsid w:val="00C66975"/>
    <w:rsid w:val="00C6704F"/>
    <w:rsid w:val="00C76099"/>
    <w:rsid w:val="00C77A79"/>
    <w:rsid w:val="00C84E5D"/>
    <w:rsid w:val="00C87323"/>
    <w:rsid w:val="00C873BB"/>
    <w:rsid w:val="00C873F3"/>
    <w:rsid w:val="00C91445"/>
    <w:rsid w:val="00C9434F"/>
    <w:rsid w:val="00C9783B"/>
    <w:rsid w:val="00CA0A47"/>
    <w:rsid w:val="00CA0C53"/>
    <w:rsid w:val="00CA4E99"/>
    <w:rsid w:val="00CB0688"/>
    <w:rsid w:val="00CB54CB"/>
    <w:rsid w:val="00CB7894"/>
    <w:rsid w:val="00CD2AD1"/>
    <w:rsid w:val="00CD3488"/>
    <w:rsid w:val="00CD3499"/>
    <w:rsid w:val="00CD5257"/>
    <w:rsid w:val="00CE1D4C"/>
    <w:rsid w:val="00CE3D45"/>
    <w:rsid w:val="00CF0209"/>
    <w:rsid w:val="00CF1766"/>
    <w:rsid w:val="00CF1C5A"/>
    <w:rsid w:val="00CF2DD8"/>
    <w:rsid w:val="00D04B87"/>
    <w:rsid w:val="00D13C64"/>
    <w:rsid w:val="00D27FE4"/>
    <w:rsid w:val="00D306B7"/>
    <w:rsid w:val="00D31566"/>
    <w:rsid w:val="00D33A86"/>
    <w:rsid w:val="00D33DCC"/>
    <w:rsid w:val="00D353D2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65633"/>
    <w:rsid w:val="00D705AF"/>
    <w:rsid w:val="00D70E70"/>
    <w:rsid w:val="00D71A5E"/>
    <w:rsid w:val="00D760D6"/>
    <w:rsid w:val="00D8200A"/>
    <w:rsid w:val="00D84158"/>
    <w:rsid w:val="00D87B7C"/>
    <w:rsid w:val="00D93BBB"/>
    <w:rsid w:val="00D940F1"/>
    <w:rsid w:val="00D9756C"/>
    <w:rsid w:val="00D97A8A"/>
    <w:rsid w:val="00D97DE0"/>
    <w:rsid w:val="00DA05A1"/>
    <w:rsid w:val="00DA2D43"/>
    <w:rsid w:val="00DB250B"/>
    <w:rsid w:val="00DC08DC"/>
    <w:rsid w:val="00DC421C"/>
    <w:rsid w:val="00DD1206"/>
    <w:rsid w:val="00DD347F"/>
    <w:rsid w:val="00DD3884"/>
    <w:rsid w:val="00DE1A0E"/>
    <w:rsid w:val="00E041D7"/>
    <w:rsid w:val="00E146D7"/>
    <w:rsid w:val="00E14C73"/>
    <w:rsid w:val="00E2430C"/>
    <w:rsid w:val="00E3062C"/>
    <w:rsid w:val="00E3380D"/>
    <w:rsid w:val="00E33C13"/>
    <w:rsid w:val="00E354D8"/>
    <w:rsid w:val="00E356CA"/>
    <w:rsid w:val="00E430F3"/>
    <w:rsid w:val="00E460E5"/>
    <w:rsid w:val="00E50AF7"/>
    <w:rsid w:val="00E5143E"/>
    <w:rsid w:val="00E5406D"/>
    <w:rsid w:val="00E62B1D"/>
    <w:rsid w:val="00E80112"/>
    <w:rsid w:val="00E808F7"/>
    <w:rsid w:val="00E84120"/>
    <w:rsid w:val="00E944DC"/>
    <w:rsid w:val="00E974C1"/>
    <w:rsid w:val="00EA1978"/>
    <w:rsid w:val="00EA3046"/>
    <w:rsid w:val="00EB06B7"/>
    <w:rsid w:val="00EB0906"/>
    <w:rsid w:val="00EC58C3"/>
    <w:rsid w:val="00EC5F0C"/>
    <w:rsid w:val="00ED00E7"/>
    <w:rsid w:val="00ED033E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0B68"/>
    <w:rsid w:val="00F05394"/>
    <w:rsid w:val="00F062F8"/>
    <w:rsid w:val="00F0654B"/>
    <w:rsid w:val="00F0781A"/>
    <w:rsid w:val="00F111EA"/>
    <w:rsid w:val="00F13273"/>
    <w:rsid w:val="00F13553"/>
    <w:rsid w:val="00F3329C"/>
    <w:rsid w:val="00F35455"/>
    <w:rsid w:val="00F35C36"/>
    <w:rsid w:val="00F445AD"/>
    <w:rsid w:val="00F44FAE"/>
    <w:rsid w:val="00F457F6"/>
    <w:rsid w:val="00F46967"/>
    <w:rsid w:val="00F46E8D"/>
    <w:rsid w:val="00F63B4C"/>
    <w:rsid w:val="00F6717C"/>
    <w:rsid w:val="00F67D00"/>
    <w:rsid w:val="00F814B2"/>
    <w:rsid w:val="00F93F97"/>
    <w:rsid w:val="00F977F0"/>
    <w:rsid w:val="00FA132A"/>
    <w:rsid w:val="00FA3FEC"/>
    <w:rsid w:val="00FB0CA6"/>
    <w:rsid w:val="00FB18E6"/>
    <w:rsid w:val="00FB468F"/>
    <w:rsid w:val="00FC52C3"/>
    <w:rsid w:val="00FC5F6C"/>
    <w:rsid w:val="00FC6D6F"/>
    <w:rsid w:val="00FD19CB"/>
    <w:rsid w:val="00FD50FC"/>
    <w:rsid w:val="00FD5981"/>
    <w:rsid w:val="00FD7A84"/>
    <w:rsid w:val="00FE1B75"/>
    <w:rsid w:val="00FE4383"/>
    <w:rsid w:val="00FE6589"/>
    <w:rsid w:val="00FF2F61"/>
    <w:rsid w:val="00FF355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BAB5-1277-40A7-BB18-C139A79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3C57-C3E4-4081-931A-2FC6004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34762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user0601</dc:creator>
  <cp:lastModifiedBy>user0806</cp:lastModifiedBy>
  <cp:revision>7</cp:revision>
  <cp:lastPrinted>2020-02-17T02:35:00Z</cp:lastPrinted>
  <dcterms:created xsi:type="dcterms:W3CDTF">2020-02-10T08:21:00Z</dcterms:created>
  <dcterms:modified xsi:type="dcterms:W3CDTF">2020-02-17T06:27:00Z</dcterms:modified>
</cp:coreProperties>
</file>