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A2" w:rsidRPr="00D56D65" w:rsidRDefault="00F21FA2" w:rsidP="00F21FA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21FA2" w:rsidRPr="00D56D65" w:rsidRDefault="00F21FA2" w:rsidP="00F21FA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директоров </w:t>
      </w:r>
    </w:p>
    <w:p w:rsidR="00F21FA2" w:rsidRPr="00D56D65" w:rsidRDefault="00F21FA2" w:rsidP="00F21FA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«Водоканал»</w:t>
      </w:r>
    </w:p>
    <w:p w:rsidR="000E5669" w:rsidRPr="00D56D65" w:rsidRDefault="004359D5" w:rsidP="004359D5">
      <w:pPr>
        <w:spacing w:after="0" w:line="240" w:lineRule="auto"/>
        <w:ind w:left="4678" w:firstLine="278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«26</w:t>
      </w:r>
      <w:r w:rsidR="00F21FA2" w:rsidRPr="00D5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2023 г № </w:t>
      </w:r>
      <w:r w:rsidRPr="00D56D65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38" w:rsidRPr="00D56D65" w:rsidRDefault="00E41938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38" w:rsidRPr="00D56D65" w:rsidRDefault="00E41938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38" w:rsidRPr="00D56D65" w:rsidRDefault="00E41938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38" w:rsidRPr="00D56D65" w:rsidRDefault="00E41938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38" w:rsidRPr="00D56D65" w:rsidRDefault="00E41938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38" w:rsidRPr="00D56D65" w:rsidRDefault="00E41938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ПОЛОЖЕНИЕ</w:t>
      </w:r>
    </w:p>
    <w:p w:rsidR="000E5669" w:rsidRPr="00D56D65" w:rsidRDefault="000E5669" w:rsidP="000E5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о системе управления рисками АО «Водоканал»</w:t>
      </w: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38" w:rsidRPr="00D56D65" w:rsidRDefault="00E41938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P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9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г. Якутск, 2023 год</w:t>
      </w:r>
    </w:p>
    <w:p w:rsidR="00F21FA2" w:rsidRPr="00D56D65" w:rsidRDefault="00F21FA2" w:rsidP="00E41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FA2" w:rsidRPr="00D56D65" w:rsidRDefault="00F21FA2" w:rsidP="00E41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E41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Содержание</w:t>
      </w: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69" w:rsidRPr="00D56D65" w:rsidRDefault="000E5669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1. Общ</w:t>
      </w:r>
      <w:r w:rsidR="000318C3" w:rsidRPr="00D56D65">
        <w:rPr>
          <w:rFonts w:ascii="Times New Roman" w:hAnsi="Times New Roman" w:cs="Times New Roman"/>
          <w:sz w:val="24"/>
          <w:szCs w:val="24"/>
        </w:rPr>
        <w:t>ие положения ............................................................................................</w:t>
      </w:r>
      <w:r w:rsidRPr="00D56D65">
        <w:rPr>
          <w:rFonts w:ascii="Times New Roman" w:hAnsi="Times New Roman" w:cs="Times New Roman"/>
          <w:sz w:val="24"/>
          <w:szCs w:val="24"/>
        </w:rPr>
        <w:t>3</w:t>
      </w:r>
    </w:p>
    <w:p w:rsidR="009F5982" w:rsidRPr="00D56D65" w:rsidRDefault="009F5982" w:rsidP="00DE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6D" w:rsidRPr="00D56D65" w:rsidRDefault="000318C3" w:rsidP="00DE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2. Основные понятия, цель, задачи и принципы управления рисками ...........</w:t>
      </w:r>
      <w:r w:rsidR="00DE416D" w:rsidRPr="00D56D65">
        <w:rPr>
          <w:rFonts w:ascii="Times New Roman" w:hAnsi="Times New Roman" w:cs="Times New Roman"/>
          <w:sz w:val="24"/>
          <w:szCs w:val="24"/>
        </w:rPr>
        <w:t>3</w:t>
      </w:r>
    </w:p>
    <w:p w:rsidR="009F5982" w:rsidRPr="00D56D65" w:rsidRDefault="009F5982" w:rsidP="00DE41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E416D" w:rsidRPr="00D56D65" w:rsidRDefault="00DE416D" w:rsidP="00DE41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6D65">
        <w:rPr>
          <w:rFonts w:ascii="Times New Roman" w:eastAsia="MS Mincho" w:hAnsi="Times New Roman" w:cs="Times New Roman"/>
          <w:sz w:val="24"/>
          <w:szCs w:val="24"/>
        </w:rPr>
        <w:t>3. Процесс управ</w:t>
      </w:r>
      <w:r w:rsidR="000318C3" w:rsidRPr="00D56D65">
        <w:rPr>
          <w:rFonts w:ascii="Times New Roman" w:eastAsia="MS Mincho" w:hAnsi="Times New Roman" w:cs="Times New Roman"/>
          <w:sz w:val="24"/>
          <w:szCs w:val="24"/>
        </w:rPr>
        <w:t>ления рисками ..........................................................................</w:t>
      </w:r>
      <w:r w:rsidRPr="00D56D65">
        <w:rPr>
          <w:rFonts w:ascii="Times New Roman" w:eastAsia="MS Mincho" w:hAnsi="Times New Roman" w:cs="Times New Roman"/>
          <w:sz w:val="24"/>
          <w:szCs w:val="24"/>
        </w:rPr>
        <w:t>4</w:t>
      </w:r>
    </w:p>
    <w:p w:rsidR="009F5982" w:rsidRPr="00D56D65" w:rsidRDefault="009F5982" w:rsidP="00DE4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416D" w:rsidRPr="00D56D65" w:rsidRDefault="00DE416D" w:rsidP="00DE4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A3255F" w:rsidRPr="00D56D65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  <w:r w:rsidR="000318C3" w:rsidRPr="00D56D65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</w:t>
      </w:r>
      <w:r w:rsidR="00E54200" w:rsidRPr="00D56D65">
        <w:rPr>
          <w:rFonts w:ascii="Times New Roman" w:hAnsi="Times New Roman" w:cs="Times New Roman"/>
          <w:bCs/>
          <w:sz w:val="24"/>
          <w:szCs w:val="24"/>
        </w:rPr>
        <w:t>7</w:t>
      </w:r>
    </w:p>
    <w:p w:rsidR="009F05EA" w:rsidRPr="00D56D65" w:rsidRDefault="000318C3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65" w:rsidRPr="00D56D65" w:rsidRDefault="00D56D65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0E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9F05EA" w:rsidP="00DE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lastRenderedPageBreak/>
        <w:t>1. Общие положения.</w:t>
      </w:r>
    </w:p>
    <w:p w:rsidR="009F05EA" w:rsidRPr="00D56D65" w:rsidRDefault="009F05EA" w:rsidP="00F2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A2" w:rsidRPr="00D56D65" w:rsidRDefault="009F05EA" w:rsidP="00F2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F21FA2" w:rsidRPr="00D56D65">
        <w:rPr>
          <w:rFonts w:ascii="Times New Roman" w:hAnsi="Times New Roman" w:cs="Times New Roman"/>
          <w:sz w:val="24"/>
          <w:szCs w:val="24"/>
        </w:rPr>
        <w:t xml:space="preserve"> разработано во исполнение Плана мероприятий по реализации Стратегии устойчивого развития Акционерного общества «Водоканал» на период с 2023-2032 годы, которая утверждена Решением Совета директоров АО «Водоканал» (протокол от «06» декабря 2022 г № 169).</w:t>
      </w:r>
    </w:p>
    <w:p w:rsidR="006905A3" w:rsidRPr="00D56D65" w:rsidRDefault="006905A3" w:rsidP="009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D4" w:rsidRPr="00D56D65" w:rsidRDefault="00F21FA2" w:rsidP="009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9F05EA" w:rsidRPr="00D56D65">
        <w:rPr>
          <w:rFonts w:ascii="Times New Roman" w:hAnsi="Times New Roman" w:cs="Times New Roman"/>
          <w:sz w:val="24"/>
          <w:szCs w:val="24"/>
        </w:rPr>
        <w:t>о системе управления рисками</w:t>
      </w:r>
      <w:r w:rsidR="0097179C" w:rsidRPr="00D56D65">
        <w:rPr>
          <w:rFonts w:ascii="Times New Roman" w:hAnsi="Times New Roman" w:cs="Times New Roman"/>
          <w:sz w:val="24"/>
          <w:szCs w:val="24"/>
        </w:rPr>
        <w:t xml:space="preserve"> (далее - Положение) </w:t>
      </w:r>
      <w:r w:rsidR="009F05EA" w:rsidRPr="00D56D65">
        <w:rPr>
          <w:rFonts w:ascii="Times New Roman" w:hAnsi="Times New Roman" w:cs="Times New Roman"/>
          <w:sz w:val="24"/>
          <w:szCs w:val="24"/>
        </w:rPr>
        <w:t>АО «Водоканал»</w:t>
      </w:r>
      <w:r w:rsidR="0097179C" w:rsidRPr="00D56D6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F05EA" w:rsidRPr="00D56D65">
        <w:rPr>
          <w:rFonts w:ascii="Times New Roman" w:hAnsi="Times New Roman" w:cs="Times New Roman"/>
          <w:sz w:val="24"/>
          <w:szCs w:val="24"/>
        </w:rPr>
        <w:t>О</w:t>
      </w:r>
      <w:r w:rsidR="005F52D4" w:rsidRPr="00D56D65">
        <w:rPr>
          <w:rFonts w:ascii="Times New Roman" w:hAnsi="Times New Roman" w:cs="Times New Roman"/>
          <w:sz w:val="24"/>
          <w:szCs w:val="24"/>
        </w:rPr>
        <w:t>бщество</w:t>
      </w:r>
      <w:r w:rsidR="0097179C" w:rsidRPr="00D56D65">
        <w:rPr>
          <w:rFonts w:ascii="Times New Roman" w:hAnsi="Times New Roman" w:cs="Times New Roman"/>
          <w:sz w:val="24"/>
          <w:szCs w:val="24"/>
        </w:rPr>
        <w:t>)</w:t>
      </w:r>
      <w:r w:rsidR="009F05EA" w:rsidRPr="00D56D65">
        <w:rPr>
          <w:rFonts w:ascii="Times New Roman" w:hAnsi="Times New Roman" w:cs="Times New Roman"/>
          <w:sz w:val="24"/>
          <w:szCs w:val="24"/>
        </w:rPr>
        <w:t xml:space="preserve"> </w:t>
      </w:r>
      <w:r w:rsidR="005F52D4" w:rsidRPr="00D56D65">
        <w:rPr>
          <w:rFonts w:ascii="Times New Roman" w:hAnsi="Times New Roman" w:cs="Times New Roman"/>
          <w:sz w:val="24"/>
          <w:szCs w:val="24"/>
        </w:rPr>
        <w:t>обеспечит единообразный системный подход к организации управления рисками в Обществе посредством определения целей, задач и принципов управления рисками и обеспечит их однозначное понимание работниками Общества.</w:t>
      </w:r>
    </w:p>
    <w:p w:rsidR="006905A3" w:rsidRPr="00D56D65" w:rsidRDefault="006905A3" w:rsidP="009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5EA" w:rsidRPr="00D56D65" w:rsidRDefault="002A2187" w:rsidP="009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1.3</w:t>
      </w:r>
      <w:r w:rsidR="009F05EA" w:rsidRPr="00D56D65">
        <w:rPr>
          <w:rFonts w:ascii="Times New Roman" w:hAnsi="Times New Roman" w:cs="Times New Roman"/>
          <w:sz w:val="24"/>
          <w:szCs w:val="24"/>
        </w:rPr>
        <w:t>. Настоящее Положение разработано в соответствии с действующим законодательством Российской Федерации, а также локальными нормативными актами Организации и распространяется на все структурные подразделения Организации.</w:t>
      </w:r>
    </w:p>
    <w:p w:rsidR="00561A06" w:rsidRPr="00D56D65" w:rsidRDefault="00561A06" w:rsidP="009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06" w:rsidRPr="00D56D65" w:rsidRDefault="00FE06B1" w:rsidP="00DE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2. Основные понятия, цел</w:t>
      </w:r>
      <w:r w:rsidR="000B5F9B" w:rsidRPr="00D56D65">
        <w:rPr>
          <w:rFonts w:ascii="Times New Roman" w:hAnsi="Times New Roman" w:cs="Times New Roman"/>
          <w:sz w:val="24"/>
          <w:szCs w:val="24"/>
        </w:rPr>
        <w:t>ь</w:t>
      </w:r>
      <w:r w:rsidR="00010330" w:rsidRPr="00D56D65">
        <w:rPr>
          <w:rFonts w:ascii="Times New Roman" w:hAnsi="Times New Roman" w:cs="Times New Roman"/>
          <w:sz w:val="24"/>
          <w:szCs w:val="24"/>
        </w:rPr>
        <w:t xml:space="preserve">, </w:t>
      </w:r>
      <w:r w:rsidRPr="00D56D65">
        <w:rPr>
          <w:rFonts w:ascii="Times New Roman" w:hAnsi="Times New Roman" w:cs="Times New Roman"/>
          <w:sz w:val="24"/>
          <w:szCs w:val="24"/>
        </w:rPr>
        <w:t>задачи</w:t>
      </w:r>
      <w:r w:rsidR="00010330" w:rsidRPr="00D56D65">
        <w:rPr>
          <w:rFonts w:ascii="Times New Roman" w:hAnsi="Times New Roman" w:cs="Times New Roman"/>
          <w:sz w:val="24"/>
          <w:szCs w:val="24"/>
        </w:rPr>
        <w:t xml:space="preserve"> и принципы управления рисками</w:t>
      </w:r>
      <w:r w:rsidRPr="00D56D65">
        <w:rPr>
          <w:rFonts w:ascii="Times New Roman" w:hAnsi="Times New Roman" w:cs="Times New Roman"/>
          <w:sz w:val="24"/>
          <w:szCs w:val="24"/>
        </w:rPr>
        <w:t>.</w:t>
      </w:r>
    </w:p>
    <w:p w:rsidR="009B7780" w:rsidRPr="00D56D65" w:rsidRDefault="009B7780" w:rsidP="009B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780" w:rsidRPr="00D56D65" w:rsidRDefault="00065940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</w:t>
      </w:r>
      <w:r w:rsidR="00E21DA9" w:rsidRPr="00D56D65">
        <w:rPr>
          <w:rFonts w:ascii="Times New Roman" w:hAnsi="Times New Roman" w:cs="Times New Roman"/>
          <w:sz w:val="24"/>
          <w:szCs w:val="24"/>
        </w:rPr>
        <w:t xml:space="preserve">.1. </w:t>
      </w:r>
      <w:r w:rsidR="009B7780" w:rsidRPr="00D56D65">
        <w:rPr>
          <w:rFonts w:ascii="Times New Roman" w:hAnsi="Times New Roman" w:cs="Times New Roman"/>
          <w:sz w:val="24"/>
          <w:szCs w:val="24"/>
        </w:rPr>
        <w:t xml:space="preserve">Риск - потенциально возможное внутреннее или внешнее событие, оказывающее негативное влияние на достижение целей деятельности </w:t>
      </w:r>
      <w:r w:rsidR="001425CD" w:rsidRPr="00D56D6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B7780" w:rsidRPr="00D56D65">
        <w:rPr>
          <w:rFonts w:ascii="Times New Roman" w:hAnsi="Times New Roman" w:cs="Times New Roman"/>
          <w:sz w:val="24"/>
          <w:szCs w:val="24"/>
        </w:rPr>
        <w:t>и приводящее к нежелательным последствиям.</w:t>
      </w:r>
    </w:p>
    <w:p w:rsidR="00E54200" w:rsidRPr="00D56D65" w:rsidRDefault="00E54200" w:rsidP="00E54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ab/>
        <w:t>В</w:t>
      </w:r>
      <w:r w:rsidRPr="00D56D65">
        <w:rPr>
          <w:rFonts w:ascii="Times New Roman" w:hAnsi="Times New Roman" w:cs="Times New Roman"/>
          <w:bCs/>
          <w:sz w:val="24"/>
          <w:szCs w:val="24"/>
        </w:rPr>
        <w:t>ладелец рисков – руководитель стру</w:t>
      </w:r>
      <w:r w:rsidR="00C731D4" w:rsidRPr="00D56D65">
        <w:rPr>
          <w:rFonts w:ascii="Times New Roman" w:hAnsi="Times New Roman" w:cs="Times New Roman"/>
          <w:bCs/>
          <w:sz w:val="24"/>
          <w:szCs w:val="24"/>
        </w:rPr>
        <w:t>ктурного подразделения Общества.</w:t>
      </w:r>
    </w:p>
    <w:p w:rsidR="00C731D4" w:rsidRPr="00D56D65" w:rsidRDefault="00C731D4" w:rsidP="00E5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ab/>
        <w:t>Система управления рисками – совокупность процессов и методов, направленных на снижение негативного воздействия рисков на Общество и на эффективное реагирование на возникающие угрозы и возможности.</w:t>
      </w:r>
    </w:p>
    <w:p w:rsidR="000B5F9B" w:rsidRPr="00D56D65" w:rsidRDefault="000B5F9B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A9" w:rsidRPr="00D56D65" w:rsidRDefault="00065940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</w:t>
      </w:r>
      <w:r w:rsidR="00E21DA9" w:rsidRPr="00D56D65">
        <w:rPr>
          <w:rFonts w:ascii="Times New Roman" w:hAnsi="Times New Roman" w:cs="Times New Roman"/>
          <w:sz w:val="24"/>
          <w:szCs w:val="24"/>
        </w:rPr>
        <w:t xml:space="preserve">.2. Целью </w:t>
      </w:r>
      <w:r w:rsidR="00C731D4" w:rsidRPr="00D56D65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</w:t>
      </w:r>
      <w:r w:rsidR="00E21DA9" w:rsidRPr="00D56D65">
        <w:rPr>
          <w:rFonts w:ascii="Times New Roman" w:hAnsi="Times New Roman" w:cs="Times New Roman"/>
          <w:sz w:val="24"/>
          <w:szCs w:val="24"/>
        </w:rPr>
        <w:t xml:space="preserve">системы управления рисками является обеспечение достижения целей деятельности Общества </w:t>
      </w:r>
      <w:r w:rsidR="00642509" w:rsidRPr="00D56D65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21DA9" w:rsidRPr="00D56D65">
        <w:rPr>
          <w:rFonts w:ascii="Times New Roman" w:hAnsi="Times New Roman" w:cs="Times New Roman"/>
          <w:sz w:val="24"/>
          <w:szCs w:val="24"/>
        </w:rPr>
        <w:t>выявлени</w:t>
      </w:r>
      <w:r w:rsidR="00642509" w:rsidRPr="00D56D65">
        <w:rPr>
          <w:rFonts w:ascii="Times New Roman" w:hAnsi="Times New Roman" w:cs="Times New Roman"/>
          <w:sz w:val="24"/>
          <w:szCs w:val="24"/>
        </w:rPr>
        <w:t>я, оценки, управления</w:t>
      </w:r>
      <w:r w:rsidR="00E21DA9" w:rsidRPr="00D56D65">
        <w:rPr>
          <w:rFonts w:ascii="Times New Roman" w:hAnsi="Times New Roman" w:cs="Times New Roman"/>
          <w:sz w:val="24"/>
          <w:szCs w:val="24"/>
        </w:rPr>
        <w:t xml:space="preserve"> и мониторинг</w:t>
      </w:r>
      <w:r w:rsidR="00642509" w:rsidRPr="00D56D65">
        <w:rPr>
          <w:rFonts w:ascii="Times New Roman" w:hAnsi="Times New Roman" w:cs="Times New Roman"/>
          <w:sz w:val="24"/>
          <w:szCs w:val="24"/>
        </w:rPr>
        <w:t>а</w:t>
      </w:r>
      <w:r w:rsidR="00E21DA9" w:rsidRPr="00D56D65">
        <w:rPr>
          <w:rFonts w:ascii="Times New Roman" w:hAnsi="Times New Roman" w:cs="Times New Roman"/>
          <w:sz w:val="24"/>
          <w:szCs w:val="24"/>
        </w:rPr>
        <w:t xml:space="preserve"> рисков.</w:t>
      </w:r>
    </w:p>
    <w:p w:rsidR="00E21DA9" w:rsidRPr="00D56D65" w:rsidRDefault="00E21DA9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A9" w:rsidRPr="00D56D65" w:rsidRDefault="00065940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</w:t>
      </w:r>
      <w:r w:rsidR="00E21DA9" w:rsidRPr="00D56D65">
        <w:rPr>
          <w:rFonts w:ascii="Times New Roman" w:hAnsi="Times New Roman" w:cs="Times New Roman"/>
          <w:sz w:val="24"/>
          <w:szCs w:val="24"/>
        </w:rPr>
        <w:t>.3. Задачи системы управления рисками:</w:t>
      </w:r>
    </w:p>
    <w:p w:rsidR="00E21DA9" w:rsidRPr="00D56D65" w:rsidRDefault="00065940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</w:t>
      </w:r>
      <w:r w:rsidR="00E21DA9" w:rsidRPr="00D56D65">
        <w:rPr>
          <w:rFonts w:ascii="Times New Roman" w:hAnsi="Times New Roman" w:cs="Times New Roman"/>
          <w:sz w:val="24"/>
          <w:szCs w:val="24"/>
        </w:rPr>
        <w:t xml:space="preserve">.3.1. Своевременное выявление рисков </w:t>
      </w:r>
      <w:r w:rsidRPr="00D56D65">
        <w:rPr>
          <w:rFonts w:ascii="Times New Roman" w:hAnsi="Times New Roman" w:cs="Times New Roman"/>
          <w:sz w:val="24"/>
          <w:szCs w:val="24"/>
        </w:rPr>
        <w:t>Общества.</w:t>
      </w:r>
    </w:p>
    <w:p w:rsidR="00E21DA9" w:rsidRPr="00D56D65" w:rsidRDefault="00065940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</w:t>
      </w:r>
      <w:r w:rsidR="00E21DA9" w:rsidRPr="00D56D65">
        <w:rPr>
          <w:rFonts w:ascii="Times New Roman" w:hAnsi="Times New Roman" w:cs="Times New Roman"/>
          <w:sz w:val="24"/>
          <w:szCs w:val="24"/>
        </w:rPr>
        <w:t>.3.2. Предотвращение реализации рисков и снижение их по</w:t>
      </w:r>
      <w:r w:rsidRPr="00D56D65">
        <w:rPr>
          <w:rFonts w:ascii="Times New Roman" w:hAnsi="Times New Roman" w:cs="Times New Roman"/>
          <w:sz w:val="24"/>
          <w:szCs w:val="24"/>
        </w:rPr>
        <w:t>следствий до приемлемого уровня.</w:t>
      </w:r>
    </w:p>
    <w:p w:rsidR="00E21DA9" w:rsidRPr="00D56D65" w:rsidRDefault="00065940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</w:t>
      </w:r>
      <w:r w:rsidR="00E21DA9" w:rsidRPr="00D56D65">
        <w:rPr>
          <w:rFonts w:ascii="Times New Roman" w:hAnsi="Times New Roman" w:cs="Times New Roman"/>
          <w:sz w:val="24"/>
          <w:szCs w:val="24"/>
        </w:rPr>
        <w:t xml:space="preserve">.3.3. Мониторинг влияния рисков на финансовую устойчивость, </w:t>
      </w:r>
      <w:r w:rsidRPr="00D56D65">
        <w:rPr>
          <w:rFonts w:ascii="Times New Roman" w:hAnsi="Times New Roman" w:cs="Times New Roman"/>
          <w:sz w:val="24"/>
          <w:szCs w:val="24"/>
        </w:rPr>
        <w:t xml:space="preserve">на </w:t>
      </w:r>
      <w:r w:rsidR="00E21DA9" w:rsidRPr="00D56D65">
        <w:rPr>
          <w:rFonts w:ascii="Times New Roman" w:hAnsi="Times New Roman" w:cs="Times New Roman"/>
          <w:sz w:val="24"/>
          <w:szCs w:val="24"/>
        </w:rPr>
        <w:t xml:space="preserve">достижение стратегических и операционных целей и на репутацию </w:t>
      </w:r>
      <w:r w:rsidRPr="00D56D65">
        <w:rPr>
          <w:rFonts w:ascii="Times New Roman" w:hAnsi="Times New Roman" w:cs="Times New Roman"/>
          <w:sz w:val="24"/>
          <w:szCs w:val="24"/>
        </w:rPr>
        <w:t>Общества.</w:t>
      </w:r>
    </w:p>
    <w:p w:rsidR="00E21DA9" w:rsidRPr="00D56D65" w:rsidRDefault="00065940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</w:t>
      </w:r>
      <w:r w:rsidR="00E21DA9" w:rsidRPr="00D56D65">
        <w:rPr>
          <w:rFonts w:ascii="Times New Roman" w:hAnsi="Times New Roman" w:cs="Times New Roman"/>
          <w:sz w:val="24"/>
          <w:szCs w:val="24"/>
        </w:rPr>
        <w:t>.3.4. Поддержание в актуальном состоянии локальных нормативных актов Общест</w:t>
      </w:r>
      <w:r w:rsidRPr="00D56D65">
        <w:rPr>
          <w:rFonts w:ascii="Times New Roman" w:hAnsi="Times New Roman" w:cs="Times New Roman"/>
          <w:sz w:val="24"/>
          <w:szCs w:val="24"/>
        </w:rPr>
        <w:t>ва в области управления рисками.</w:t>
      </w:r>
    </w:p>
    <w:p w:rsidR="00E21DA9" w:rsidRPr="00D56D65" w:rsidRDefault="00065940" w:rsidP="00E21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2</w:t>
      </w:r>
      <w:r w:rsidR="00E21DA9" w:rsidRPr="00D56D65">
        <w:rPr>
          <w:rFonts w:ascii="Times New Roman" w:hAnsi="Times New Roman" w:cs="Times New Roman"/>
          <w:sz w:val="24"/>
          <w:szCs w:val="24"/>
        </w:rPr>
        <w:t>.3.5. Развитие культуры управления рисками в Обществе, в т. ч. и путем проведения обучающих мероприятий для работников Общества.</w:t>
      </w:r>
    </w:p>
    <w:p w:rsidR="00445028" w:rsidRPr="00D56D65" w:rsidRDefault="00445028" w:rsidP="0081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30" w:rsidRPr="00D56D65" w:rsidRDefault="00010330" w:rsidP="000103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2.4. Система управления рисками основывается на следующих принципах:</w:t>
      </w:r>
    </w:p>
    <w:p w:rsidR="00010330" w:rsidRPr="00D56D65" w:rsidRDefault="00010330" w:rsidP="000103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2.4.1. Управление рисками является неотъемлемой частью всех бизнес-процессов Общества и входит в сферу ответственности соответствующих работников Общества.</w:t>
      </w:r>
    </w:p>
    <w:p w:rsidR="00010330" w:rsidRPr="00D56D65" w:rsidRDefault="00010330" w:rsidP="000103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2.4.2. Управление рисками осуществляется непрерывно и на систематической основе.</w:t>
      </w:r>
    </w:p>
    <w:p w:rsidR="00A32C0E" w:rsidRPr="00D56D65" w:rsidRDefault="00010330" w:rsidP="000103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 xml:space="preserve">2.4.3. </w:t>
      </w:r>
      <w:r w:rsidR="00A32C0E" w:rsidRPr="00D56D65">
        <w:rPr>
          <w:rFonts w:ascii="Times New Roman" w:hAnsi="Times New Roman" w:cs="Times New Roman"/>
          <w:bCs/>
          <w:sz w:val="24"/>
          <w:szCs w:val="24"/>
        </w:rPr>
        <w:t>Система управления рисками должна соответствовать финансовым возможностям, организационной структуре, стратегии и целям Общества. Выделение финансовых и иных ресурсов на мероприятия и меры по минимизации рисков осуществляется с учётом степени значимости риска для общества, а также ожидаемого эффекта от мероприятия.</w:t>
      </w:r>
    </w:p>
    <w:p w:rsidR="00010330" w:rsidRPr="00D56D65" w:rsidRDefault="00010330" w:rsidP="000103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2.4.4. Управление рисками является частью ежедневного процесса управления и предусматривает, что каждый сотрудник обязан выявлять и оценивать риски для наиболее эффективного принятия решений менеджментом Общества.</w:t>
      </w:r>
    </w:p>
    <w:p w:rsidR="00010330" w:rsidRPr="00D56D65" w:rsidRDefault="00010330" w:rsidP="000103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lastRenderedPageBreak/>
        <w:t>2.4.5. Для управления рисками используется максимально точная, полная и достоверная информация, включая информацию за прошедшие периоды, аналитические материалы, прогнозы и другое.</w:t>
      </w:r>
    </w:p>
    <w:p w:rsidR="00A32C0E" w:rsidRPr="00D56D65" w:rsidRDefault="00A32C0E" w:rsidP="00A32C0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32C0E" w:rsidRPr="00D56D65" w:rsidRDefault="00B7656B" w:rsidP="00DE41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56D65">
        <w:rPr>
          <w:rFonts w:ascii="Times New Roman" w:eastAsia="MS Mincho" w:hAnsi="Times New Roman" w:cs="Times New Roman"/>
          <w:sz w:val="24"/>
          <w:szCs w:val="24"/>
        </w:rPr>
        <w:t>3</w:t>
      </w:r>
      <w:r w:rsidR="00A32C0E" w:rsidRPr="00D56D65">
        <w:rPr>
          <w:rFonts w:ascii="Times New Roman" w:eastAsia="MS Mincho" w:hAnsi="Times New Roman" w:cs="Times New Roman"/>
          <w:sz w:val="24"/>
          <w:szCs w:val="24"/>
        </w:rPr>
        <w:t>. Процесс управления рисками.</w:t>
      </w:r>
    </w:p>
    <w:p w:rsidR="00A32C0E" w:rsidRPr="00D56D65" w:rsidRDefault="00A32C0E" w:rsidP="00A32C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3A9" w:rsidRPr="00D56D65" w:rsidRDefault="00B463A9" w:rsidP="00A32C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ab/>
        <w:t xml:space="preserve">Управление рисками осуществляется на всех уровнях организации. В них участвуют все органы управления и работники Общества. </w:t>
      </w:r>
    </w:p>
    <w:p w:rsidR="00A32C0E" w:rsidRPr="00D56D65" w:rsidRDefault="00A32C0E" w:rsidP="00B463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 xml:space="preserve">В качестве управления риском </w:t>
      </w:r>
      <w:r w:rsidR="009C2C02" w:rsidRPr="00D56D65">
        <w:rPr>
          <w:rFonts w:ascii="Times New Roman" w:hAnsi="Times New Roman" w:cs="Times New Roman"/>
          <w:bCs/>
          <w:sz w:val="24"/>
          <w:szCs w:val="24"/>
        </w:rPr>
        <w:t>должны использоваться</w:t>
      </w:r>
      <w:r w:rsidR="008C4CD4" w:rsidRPr="00D56D65">
        <w:rPr>
          <w:rFonts w:ascii="Times New Roman" w:hAnsi="Times New Roman" w:cs="Times New Roman"/>
          <w:bCs/>
          <w:sz w:val="24"/>
          <w:szCs w:val="24"/>
        </w:rPr>
        <w:t xml:space="preserve"> следующие мероприятия</w:t>
      </w:r>
      <w:r w:rsidRPr="00D56D65">
        <w:rPr>
          <w:rFonts w:ascii="Times New Roman" w:hAnsi="Times New Roman" w:cs="Times New Roman"/>
          <w:bCs/>
          <w:sz w:val="24"/>
          <w:szCs w:val="24"/>
        </w:rPr>
        <w:t>:</w:t>
      </w:r>
    </w:p>
    <w:p w:rsidR="00A32C0E" w:rsidRPr="00D56D65" w:rsidRDefault="00A32C0E" w:rsidP="00A32C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 xml:space="preserve">- методы </w:t>
      </w:r>
      <w:r w:rsidR="0060438A" w:rsidRPr="00D56D65">
        <w:rPr>
          <w:rFonts w:ascii="Times New Roman" w:hAnsi="Times New Roman" w:cs="Times New Roman"/>
          <w:bCs/>
          <w:sz w:val="24"/>
          <w:szCs w:val="24"/>
        </w:rPr>
        <w:t xml:space="preserve">уклонения или </w:t>
      </w:r>
      <w:r w:rsidRPr="00D56D65">
        <w:rPr>
          <w:rFonts w:ascii="Times New Roman" w:hAnsi="Times New Roman" w:cs="Times New Roman"/>
          <w:bCs/>
          <w:sz w:val="24"/>
          <w:szCs w:val="24"/>
        </w:rPr>
        <w:t>снижения риска (воздействие на риск путем использования предупреждающих мер, а также мероприятий по минимизации ущерба в случае реализации риска);</w:t>
      </w:r>
    </w:p>
    <w:p w:rsidR="0060438A" w:rsidRPr="00D56D65" w:rsidRDefault="0060438A" w:rsidP="00604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- передача риска (передача риска третьей стороне, страхование рисков);</w:t>
      </w:r>
    </w:p>
    <w:p w:rsidR="0060438A" w:rsidRPr="00D56D65" w:rsidRDefault="0060438A" w:rsidP="00604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- отказ от риска (прекращение деятельности, в рамках которой возникает риск);</w:t>
      </w:r>
    </w:p>
    <w:p w:rsidR="00A32C0E" w:rsidRPr="00D56D65" w:rsidRDefault="006905A3" w:rsidP="00A32C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- принятие</w:t>
      </w:r>
      <w:r w:rsidR="00A32C0E" w:rsidRPr="00D56D65">
        <w:rPr>
          <w:rFonts w:ascii="Times New Roman" w:hAnsi="Times New Roman" w:cs="Times New Roman"/>
          <w:bCs/>
          <w:sz w:val="24"/>
          <w:szCs w:val="24"/>
        </w:rPr>
        <w:t xml:space="preserve"> риска (</w:t>
      </w:r>
      <w:r w:rsidR="00F6754B" w:rsidRPr="00D56D65">
        <w:rPr>
          <w:rFonts w:ascii="Times New Roman" w:hAnsi="Times New Roman" w:cs="Times New Roman"/>
          <w:bCs/>
          <w:sz w:val="24"/>
          <w:szCs w:val="24"/>
        </w:rPr>
        <w:t xml:space="preserve">возможное наступление неблагоприятных последствий риска, </w:t>
      </w:r>
      <w:r w:rsidR="00A32C0E" w:rsidRPr="00D56D65">
        <w:rPr>
          <w:rFonts w:ascii="Times New Roman" w:hAnsi="Times New Roman" w:cs="Times New Roman"/>
          <w:bCs/>
          <w:sz w:val="24"/>
          <w:szCs w:val="24"/>
        </w:rPr>
        <w:t>мониторинг уровня риска и перенос уп</w:t>
      </w:r>
      <w:r w:rsidR="0060438A" w:rsidRPr="00D56D65">
        <w:rPr>
          <w:rFonts w:ascii="Times New Roman" w:hAnsi="Times New Roman" w:cs="Times New Roman"/>
          <w:bCs/>
          <w:sz w:val="24"/>
          <w:szCs w:val="24"/>
        </w:rPr>
        <w:t>ора на контрольные мероприятия).</w:t>
      </w:r>
    </w:p>
    <w:p w:rsidR="0060438A" w:rsidRPr="00D56D65" w:rsidRDefault="0060438A" w:rsidP="003378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8E1" w:rsidRPr="00D56D65" w:rsidRDefault="003378E1" w:rsidP="003378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 xml:space="preserve">Наиболее приемлемым способом управления риском является уклонение или снижение риска. </w:t>
      </w:r>
      <w:r w:rsidR="0060438A" w:rsidRPr="00D56D65">
        <w:rPr>
          <w:rFonts w:ascii="Times New Roman" w:hAnsi="Times New Roman" w:cs="Times New Roman"/>
          <w:bCs/>
          <w:sz w:val="24"/>
          <w:szCs w:val="24"/>
        </w:rPr>
        <w:t xml:space="preserve">Если снижение риска невозможно или нецелесообразно, владельцы рисков должны применить альтернативные мероприятия по передаче либо принятию риска. </w:t>
      </w:r>
      <w:r w:rsidRPr="00D56D65">
        <w:rPr>
          <w:rFonts w:ascii="Times New Roman" w:hAnsi="Times New Roman" w:cs="Times New Roman"/>
          <w:bCs/>
          <w:sz w:val="24"/>
          <w:szCs w:val="24"/>
        </w:rPr>
        <w:t>Наименее эффективным способом управления риском является принятие риска.</w:t>
      </w:r>
      <w:r w:rsidR="008C4CD4" w:rsidRPr="00D56D65">
        <w:rPr>
          <w:rFonts w:ascii="Times New Roman" w:hAnsi="Times New Roman" w:cs="Times New Roman"/>
          <w:bCs/>
          <w:sz w:val="24"/>
          <w:szCs w:val="24"/>
        </w:rPr>
        <w:t xml:space="preserve"> При необходимости разрабатываются дополнительные мероприятия по управлению рисками.</w:t>
      </w:r>
    </w:p>
    <w:p w:rsidR="000318C3" w:rsidRPr="00D56D65" w:rsidRDefault="000318C3" w:rsidP="00386E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78E1" w:rsidRPr="00D56D65" w:rsidRDefault="00386EE5" w:rsidP="00386E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Категории рисков и возможные меры по их минимизации</w:t>
      </w:r>
    </w:p>
    <w:p w:rsidR="00DE416D" w:rsidRPr="00D56D65" w:rsidRDefault="00DE416D" w:rsidP="00A32C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3796"/>
        <w:gridCol w:w="3701"/>
      </w:tblGrid>
      <w:tr w:rsidR="00DE6578" w:rsidRPr="00D56D65" w:rsidTr="00A96E92">
        <w:trPr>
          <w:trHeight w:val="737"/>
          <w:jc w:val="center"/>
        </w:trPr>
        <w:tc>
          <w:tcPr>
            <w:tcW w:w="2436" w:type="dxa"/>
            <w:vAlign w:val="center"/>
          </w:tcPr>
          <w:p w:rsidR="00DE6578" w:rsidRPr="00D56D65" w:rsidRDefault="00386EE5" w:rsidP="00B823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56D6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</w:t>
            </w:r>
            <w:r w:rsidR="00DE6578" w:rsidRPr="00D56D6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иск</w:t>
            </w:r>
            <w:r w:rsidR="00B82376" w:rsidRPr="00D56D6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796" w:type="dxa"/>
            <w:vAlign w:val="center"/>
          </w:tcPr>
          <w:p w:rsidR="00DE6578" w:rsidRPr="00D56D65" w:rsidRDefault="00DE6578" w:rsidP="00E725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56D6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701" w:type="dxa"/>
            <w:vAlign w:val="center"/>
          </w:tcPr>
          <w:p w:rsidR="00DE6578" w:rsidRPr="00D56D65" w:rsidRDefault="00DE6578" w:rsidP="00E725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56D6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Меры по минимизации</w:t>
            </w:r>
          </w:p>
        </w:tc>
      </w:tr>
      <w:tr w:rsidR="00DE6578" w:rsidRPr="00D56D65" w:rsidTr="00A96E92">
        <w:trPr>
          <w:trHeight w:val="375"/>
          <w:jc w:val="center"/>
        </w:trPr>
        <w:tc>
          <w:tcPr>
            <w:tcW w:w="2436" w:type="dxa"/>
          </w:tcPr>
          <w:p w:rsidR="00DE6578" w:rsidRPr="00D56D65" w:rsidRDefault="00DE6578" w:rsidP="00E72543">
            <w:pPr>
              <w:spacing w:after="0"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</w:tcPr>
          <w:p w:rsidR="00DE6578" w:rsidRPr="00D56D65" w:rsidRDefault="00DE6578" w:rsidP="00017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законодательных актов, стандартов, инструкций</w:t>
            </w:r>
            <w:r w:rsidR="000176C9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B463A9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претензи</w:t>
            </w:r>
            <w:r w:rsidR="00B463A9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потребителей</w:t>
            </w:r>
            <w:r w:rsidR="000176C9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судебные иски, штрафы от контрольных и надзорных органов </w:t>
            </w:r>
          </w:p>
        </w:tc>
        <w:tc>
          <w:tcPr>
            <w:tcW w:w="3701" w:type="dxa"/>
          </w:tcPr>
          <w:p w:rsidR="00DE6578" w:rsidRPr="00D56D65" w:rsidRDefault="000176C9" w:rsidP="00017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законодательства; мониторинг изменений; правовая оценка и </w:t>
            </w:r>
            <w:r w:rsidR="00DE6578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</w:t>
            </w:r>
            <w:r w:rsidR="00EC44CC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6578" w:rsidRPr="00D56D65" w:rsidTr="00A96E92">
        <w:trPr>
          <w:trHeight w:val="375"/>
          <w:jc w:val="center"/>
        </w:trPr>
        <w:tc>
          <w:tcPr>
            <w:tcW w:w="2436" w:type="dxa"/>
          </w:tcPr>
          <w:p w:rsidR="00DE6578" w:rsidRPr="00D56D65" w:rsidRDefault="00DE6578" w:rsidP="00E72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Репутационные</w:t>
            </w:r>
            <w:proofErr w:type="spellEnd"/>
            <w:r w:rsidRPr="00D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</w:tcPr>
          <w:p w:rsidR="00DE6578" w:rsidRPr="00D56D65" w:rsidRDefault="00DE6578" w:rsidP="00DE6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негативное восприятие Общества со стороны контрагентов, надзорных органов и иных заинтересованных сторон</w:t>
            </w:r>
          </w:p>
        </w:tc>
        <w:tc>
          <w:tcPr>
            <w:tcW w:w="3701" w:type="dxa"/>
          </w:tcPr>
          <w:p w:rsidR="00DE6578" w:rsidRPr="00D56D65" w:rsidRDefault="00EC44CC" w:rsidP="00DE6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E6578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оддержание положительного имиджа компании. Диалог с заинтересованными сторонами, способствующий выявлению конфликта интересов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6578" w:rsidRPr="00D56D65" w:rsidTr="00A96E92">
        <w:trPr>
          <w:trHeight w:val="420"/>
          <w:jc w:val="center"/>
        </w:trPr>
        <w:tc>
          <w:tcPr>
            <w:tcW w:w="2436" w:type="dxa"/>
          </w:tcPr>
          <w:p w:rsidR="00DE6578" w:rsidRPr="00D56D65" w:rsidRDefault="00DE6578" w:rsidP="00E72543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Экологические </w:t>
            </w:r>
          </w:p>
        </w:tc>
        <w:tc>
          <w:tcPr>
            <w:tcW w:w="3796" w:type="dxa"/>
          </w:tcPr>
          <w:p w:rsidR="00DE6578" w:rsidRPr="00D56D65" w:rsidRDefault="00B463A9" w:rsidP="00DE6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="00DE6578"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>жесточение нормативов по качеству сбрасываемой воды в природные водоёмы, увеличение штрафов природоохранных организаций и т.п.</w:t>
            </w:r>
          </w:p>
        </w:tc>
        <w:tc>
          <w:tcPr>
            <w:tcW w:w="3701" w:type="dxa"/>
          </w:tcPr>
          <w:p w:rsidR="00DE6578" w:rsidRPr="00D56D65" w:rsidRDefault="00EC44CC" w:rsidP="00E725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E6578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недрение комплексного подхода к управлению собственным экологическим в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оздействием на окружающую среду.</w:t>
            </w:r>
          </w:p>
        </w:tc>
      </w:tr>
      <w:tr w:rsidR="00DE6578" w:rsidRPr="00D56D65" w:rsidTr="00A96E92">
        <w:trPr>
          <w:trHeight w:val="555"/>
          <w:jc w:val="center"/>
        </w:trPr>
        <w:tc>
          <w:tcPr>
            <w:tcW w:w="2436" w:type="dxa"/>
          </w:tcPr>
          <w:p w:rsidR="00DE6578" w:rsidRPr="00D56D65" w:rsidRDefault="00DE6578" w:rsidP="00E72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охраны труда и промышленной безопасности</w:t>
            </w:r>
          </w:p>
        </w:tc>
        <w:tc>
          <w:tcPr>
            <w:tcW w:w="3796" w:type="dxa"/>
          </w:tcPr>
          <w:p w:rsidR="00DE6578" w:rsidRPr="00D56D65" w:rsidRDefault="00DE6578" w:rsidP="00B46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травматизм, болезнь, смерть работников, угроза временного приостановления производственного процесса</w:t>
            </w:r>
            <w:r w:rsidR="00B463A9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причинение 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имущественного ущерба </w:t>
            </w:r>
          </w:p>
        </w:tc>
        <w:tc>
          <w:tcPr>
            <w:tcW w:w="3701" w:type="dxa"/>
          </w:tcPr>
          <w:p w:rsidR="00DE6578" w:rsidRPr="00D56D65" w:rsidRDefault="00EC44CC" w:rsidP="00DE6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E6578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ледование требованиям охраны труда и промышленной безопасности. Своевременное и достаточное финансирование мероприятий. </w:t>
            </w:r>
          </w:p>
        </w:tc>
      </w:tr>
      <w:tr w:rsidR="00DE6578" w:rsidRPr="00D56D65" w:rsidTr="00A96E92">
        <w:trPr>
          <w:trHeight w:val="780"/>
          <w:jc w:val="center"/>
        </w:trPr>
        <w:tc>
          <w:tcPr>
            <w:tcW w:w="2436" w:type="dxa"/>
          </w:tcPr>
          <w:p w:rsidR="00DE6578" w:rsidRPr="00D56D65" w:rsidRDefault="00DE6578" w:rsidP="00E72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персонала</w:t>
            </w:r>
          </w:p>
        </w:tc>
        <w:tc>
          <w:tcPr>
            <w:tcW w:w="3796" w:type="dxa"/>
          </w:tcPr>
          <w:p w:rsidR="00DE6578" w:rsidRPr="00D56D65" w:rsidRDefault="00DE6578" w:rsidP="00E725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несоответствие уровня подготовки молодых специалистов, невысокая 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привлекательность работы, текучесть персонала</w:t>
            </w:r>
          </w:p>
        </w:tc>
        <w:tc>
          <w:tcPr>
            <w:tcW w:w="3701" w:type="dxa"/>
          </w:tcPr>
          <w:p w:rsidR="00DE6578" w:rsidRPr="00D56D65" w:rsidRDefault="00DE6578" w:rsidP="00DE6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профессионального и личностного роста персонала, удержание лучших кадров в 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целях повышения эффективности бизнес-процессов. Создание достойных условий труда в отношении оплаты труда, рабочего времени, выходных дней, отпусков и т.п.</w:t>
            </w:r>
          </w:p>
        </w:tc>
      </w:tr>
      <w:tr w:rsidR="00DE6578" w:rsidRPr="00D56D65" w:rsidTr="00A96E92">
        <w:trPr>
          <w:trHeight w:val="515"/>
          <w:jc w:val="center"/>
        </w:trPr>
        <w:tc>
          <w:tcPr>
            <w:tcW w:w="2436" w:type="dxa"/>
          </w:tcPr>
          <w:p w:rsidR="00DE6578" w:rsidRPr="00D56D65" w:rsidRDefault="00DE6578" w:rsidP="00E72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Социальные</w:t>
            </w:r>
          </w:p>
        </w:tc>
        <w:tc>
          <w:tcPr>
            <w:tcW w:w="3796" w:type="dxa"/>
          </w:tcPr>
          <w:p w:rsidR="00DE6578" w:rsidRPr="00D56D65" w:rsidRDefault="00DE6578" w:rsidP="00DE6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рост социальной напряженности населения</w:t>
            </w:r>
          </w:p>
        </w:tc>
        <w:tc>
          <w:tcPr>
            <w:tcW w:w="3701" w:type="dxa"/>
          </w:tcPr>
          <w:p w:rsidR="00DE6578" w:rsidRPr="00D56D65" w:rsidRDefault="00EC44CC" w:rsidP="00E725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E6578"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клад в развитие общества, обеспечивающий социальную, политическую и экономическую стабильность территории, где ведется деятельность Общества</w:t>
            </w:r>
            <w:r w:rsidRPr="00D56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6578" w:rsidRPr="00D56D65" w:rsidTr="00A96E92">
        <w:trPr>
          <w:trHeight w:val="515"/>
          <w:jc w:val="center"/>
        </w:trPr>
        <w:tc>
          <w:tcPr>
            <w:tcW w:w="2436" w:type="dxa"/>
          </w:tcPr>
          <w:p w:rsidR="00DE6578" w:rsidRPr="00D56D65" w:rsidRDefault="00DE6578" w:rsidP="00E72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области корпоративного управления </w:t>
            </w:r>
          </w:p>
        </w:tc>
        <w:tc>
          <w:tcPr>
            <w:tcW w:w="3796" w:type="dxa"/>
          </w:tcPr>
          <w:p w:rsidR="00DE6578" w:rsidRPr="00D56D65" w:rsidRDefault="00DE6578" w:rsidP="00A57D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>обжалование решений Совета директоров или менеджмента Общества</w:t>
            </w:r>
            <w:r w:rsidR="00EC44CC"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  <w:r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совершение сделок без одобрения Совета директоров или единственного акционера</w:t>
            </w:r>
            <w:r w:rsidR="00EC44CC"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  <w:r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раскрытие информации в соответствии с</w:t>
            </w:r>
            <w:r w:rsidR="00EC44CC"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законодательством РФ;</w:t>
            </w:r>
            <w:r w:rsidR="00A57D53"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изменения</w:t>
            </w:r>
            <w:r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законодательства или судебной практики по воп</w:t>
            </w:r>
            <w:r w:rsidR="00A57D53" w:rsidRPr="00D56D65">
              <w:rPr>
                <w:rFonts w:ascii="Times New Roman" w:eastAsia="MS Mincho" w:hAnsi="Times New Roman" w:cs="Times New Roman"/>
                <w:sz w:val="24"/>
                <w:szCs w:val="24"/>
              </w:rPr>
              <w:t>росам корпоративного управления</w:t>
            </w:r>
          </w:p>
        </w:tc>
        <w:tc>
          <w:tcPr>
            <w:tcW w:w="3701" w:type="dxa"/>
          </w:tcPr>
          <w:p w:rsidR="00DE6578" w:rsidRPr="00D56D65" w:rsidRDefault="00124CC0" w:rsidP="00A57D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6D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</w:t>
            </w:r>
            <w:r w:rsidR="00DE6578" w:rsidRPr="00D56D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азграничение компетенции органов управления Обществом в рамках Устава;</w:t>
            </w:r>
          </w:p>
          <w:p w:rsidR="00DE6578" w:rsidRPr="00D56D65" w:rsidRDefault="00124CC0" w:rsidP="00A57D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6D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</w:t>
            </w:r>
            <w:r w:rsidR="00DE6578" w:rsidRPr="00D56D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онтроль соблюдения требований законодательства и Устава в процессе принятия решений; мониторинг изменений законодательства и судебной практики по вопросам корпоративного управлен</w:t>
            </w:r>
            <w:r w:rsidR="00A57D53" w:rsidRPr="00D56D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ия</w:t>
            </w:r>
            <w:r w:rsidR="00EC44CC" w:rsidRPr="00D56D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6578" w:rsidRPr="00D56D65" w:rsidRDefault="00DE6578" w:rsidP="00810B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4DC6" w:rsidRPr="00D56D65" w:rsidRDefault="00EF1437" w:rsidP="00BF20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 xml:space="preserve">Оценка вероятности возникновения факторов риска, т.е. определенных событий или ситуаций, способных негативно повлиять на развитие проекта (бизнеса) и (или) достижение запланированных результатов, </w:t>
      </w:r>
      <w:r w:rsidR="00504DC6" w:rsidRPr="00D56D65">
        <w:rPr>
          <w:rFonts w:ascii="Times New Roman" w:hAnsi="Times New Roman" w:cs="Times New Roman"/>
          <w:bCs/>
          <w:sz w:val="24"/>
          <w:szCs w:val="24"/>
        </w:rPr>
        <w:t>предусмотрена в следующих трех этапах:</w:t>
      </w:r>
    </w:p>
    <w:p w:rsidR="00504DC6" w:rsidRPr="00D56D65" w:rsidRDefault="00504DC6" w:rsidP="00504D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ab/>
        <w:t>- текущая оценка (самооценка);</w:t>
      </w:r>
    </w:p>
    <w:p w:rsidR="00CF23D8" w:rsidRPr="00D56D65" w:rsidRDefault="00504DC6" w:rsidP="00504D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ab/>
        <w:t>- независимая внутренняя оценка;</w:t>
      </w:r>
    </w:p>
    <w:p w:rsidR="00504DC6" w:rsidRPr="00D56D65" w:rsidRDefault="00504DC6" w:rsidP="00504D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ab/>
        <w:t>- внешняя оценка.</w:t>
      </w:r>
    </w:p>
    <w:p w:rsidR="00504DC6" w:rsidRPr="00D56D65" w:rsidRDefault="00504DC6" w:rsidP="00504D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ab/>
        <w:t>Текущая оценка</w:t>
      </w:r>
      <w:r w:rsidR="00C459BA" w:rsidRPr="00D56D65">
        <w:rPr>
          <w:rFonts w:ascii="Times New Roman" w:hAnsi="Times New Roman" w:cs="Times New Roman"/>
          <w:bCs/>
          <w:sz w:val="24"/>
          <w:szCs w:val="24"/>
        </w:rPr>
        <w:t xml:space="preserve"> рисков</w:t>
      </w:r>
      <w:r w:rsidRPr="00D56D65">
        <w:rPr>
          <w:rFonts w:ascii="Times New Roman" w:hAnsi="Times New Roman" w:cs="Times New Roman"/>
          <w:bCs/>
          <w:sz w:val="24"/>
          <w:szCs w:val="24"/>
        </w:rPr>
        <w:t xml:space="preserve"> (самооценка) осуществляется владельцами рисков</w:t>
      </w:r>
      <w:r w:rsidR="00C731D4" w:rsidRPr="00D56D65">
        <w:rPr>
          <w:rFonts w:ascii="Times New Roman" w:hAnsi="Times New Roman" w:cs="Times New Roman"/>
          <w:bCs/>
          <w:sz w:val="24"/>
          <w:szCs w:val="24"/>
        </w:rPr>
        <w:t>.</w:t>
      </w:r>
      <w:r w:rsidR="00264DE6" w:rsidRPr="00D56D65">
        <w:rPr>
          <w:rFonts w:ascii="Times New Roman" w:hAnsi="Times New Roman" w:cs="Times New Roman"/>
          <w:bCs/>
          <w:sz w:val="24"/>
          <w:szCs w:val="24"/>
        </w:rPr>
        <w:t xml:space="preserve"> Владельцы рисков осуществляют идентификацию и оценку рисков, выбор метода реагирования на риски, обеспечивают своевременное информирование руководства Общества по возникшим рисками и проведенной работе по их минимизации.</w:t>
      </w:r>
      <w:r w:rsidR="008A53B5" w:rsidRPr="00D56D65">
        <w:rPr>
          <w:rFonts w:ascii="Times New Roman" w:hAnsi="Times New Roman" w:cs="Times New Roman"/>
          <w:bCs/>
          <w:sz w:val="24"/>
          <w:szCs w:val="24"/>
        </w:rPr>
        <w:t xml:space="preserve"> Владельцы рисков несут ответственность </w:t>
      </w:r>
      <w:r w:rsidR="00947210" w:rsidRPr="00D56D65">
        <w:rPr>
          <w:rFonts w:ascii="Times New Roman" w:hAnsi="Times New Roman" w:cs="Times New Roman"/>
          <w:bCs/>
          <w:sz w:val="24"/>
          <w:szCs w:val="24"/>
        </w:rPr>
        <w:t>по предупреждению и минимизации рисков во вверенных им функциональных областях деятельности Общества.</w:t>
      </w:r>
    </w:p>
    <w:p w:rsidR="00C459BA" w:rsidRPr="00D56D65" w:rsidRDefault="00C459BA" w:rsidP="00EF14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ab/>
        <w:t xml:space="preserve">Независимая внутренняя оценка рисков проводится структурным подразделением </w:t>
      </w:r>
      <w:r w:rsidR="007920B4" w:rsidRPr="00D56D65">
        <w:rPr>
          <w:rFonts w:ascii="Times New Roman" w:hAnsi="Times New Roman" w:cs="Times New Roman"/>
          <w:bCs/>
          <w:sz w:val="24"/>
          <w:szCs w:val="24"/>
        </w:rPr>
        <w:t xml:space="preserve">по внутреннему контролю </w:t>
      </w:r>
      <w:r w:rsidRPr="00D56D65">
        <w:rPr>
          <w:rFonts w:ascii="Times New Roman" w:hAnsi="Times New Roman" w:cs="Times New Roman"/>
          <w:bCs/>
          <w:sz w:val="24"/>
          <w:szCs w:val="24"/>
        </w:rPr>
        <w:t>Общества</w:t>
      </w:r>
      <w:r w:rsidR="007920B4" w:rsidRPr="00D56D65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D56D65">
        <w:rPr>
          <w:rFonts w:ascii="Times New Roman" w:hAnsi="Times New Roman" w:cs="Times New Roman"/>
          <w:bCs/>
          <w:sz w:val="24"/>
          <w:szCs w:val="24"/>
        </w:rPr>
        <w:t xml:space="preserve">целью </w:t>
      </w:r>
      <w:r w:rsidR="007920B4" w:rsidRPr="00D56D65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D56D65">
        <w:rPr>
          <w:rFonts w:ascii="Times New Roman" w:hAnsi="Times New Roman" w:cs="Times New Roman"/>
          <w:bCs/>
          <w:sz w:val="24"/>
          <w:szCs w:val="24"/>
        </w:rPr>
        <w:t xml:space="preserve"> объективного и реального представления о текущем состоянии дел в структурных подразделениях Общества, его перспективах,</w:t>
      </w:r>
      <w:r w:rsidR="007920B4" w:rsidRPr="00D56D65">
        <w:rPr>
          <w:rFonts w:ascii="Times New Roman" w:hAnsi="Times New Roman" w:cs="Times New Roman"/>
          <w:bCs/>
          <w:sz w:val="24"/>
          <w:szCs w:val="24"/>
        </w:rPr>
        <w:t xml:space="preserve"> разумности</w:t>
      </w:r>
      <w:r w:rsidRPr="00D56D65">
        <w:rPr>
          <w:rFonts w:ascii="Times New Roman" w:hAnsi="Times New Roman" w:cs="Times New Roman"/>
          <w:bCs/>
          <w:sz w:val="24"/>
          <w:szCs w:val="24"/>
        </w:rPr>
        <w:t xml:space="preserve"> принимаемых рисков.</w:t>
      </w:r>
    </w:p>
    <w:p w:rsidR="00C459BA" w:rsidRPr="00D56D65" w:rsidRDefault="00C459BA" w:rsidP="00A325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Внешняя оценка рисков реализуется внешней независимой аудиторской организацией с целью объективной оценки достоверности бухгалтерского учета и отчетности, а также оказания консультационных услуг Обществу.</w:t>
      </w:r>
    </w:p>
    <w:p w:rsidR="00D56D65" w:rsidRDefault="00D56D65" w:rsidP="003378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1FD9" w:rsidRPr="00D56D65" w:rsidRDefault="00DE416D" w:rsidP="003378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56D65">
        <w:rPr>
          <w:rFonts w:ascii="Times New Roman" w:hAnsi="Times New Roman" w:cs="Times New Roman"/>
          <w:bCs/>
          <w:sz w:val="24"/>
          <w:szCs w:val="24"/>
        </w:rPr>
        <w:t>4.</w:t>
      </w:r>
      <w:r w:rsidR="00951FD9" w:rsidRPr="00D56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55F" w:rsidRPr="00D56D65">
        <w:rPr>
          <w:rFonts w:ascii="Times New Roman" w:hAnsi="Times New Roman" w:cs="Times New Roman"/>
          <w:bCs/>
          <w:sz w:val="24"/>
          <w:szCs w:val="24"/>
        </w:rPr>
        <w:t>Заключительные п</w:t>
      </w:r>
      <w:r w:rsidR="00951FD9" w:rsidRPr="00D56D65">
        <w:rPr>
          <w:rFonts w:ascii="Times New Roman" w:hAnsi="Times New Roman" w:cs="Times New Roman"/>
          <w:bCs/>
          <w:sz w:val="24"/>
          <w:szCs w:val="24"/>
        </w:rPr>
        <w:t>оложения</w:t>
      </w:r>
    </w:p>
    <w:p w:rsidR="00951FD9" w:rsidRPr="00D56D65" w:rsidRDefault="00951FD9" w:rsidP="00EE36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68B" w:rsidRPr="00D56D65" w:rsidRDefault="00DE416D" w:rsidP="00EE36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4</w:t>
      </w:r>
      <w:r w:rsidR="00951FD9" w:rsidRPr="00D56D65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EE368B" w:rsidRPr="00D56D65">
        <w:rPr>
          <w:rFonts w:ascii="Times New Roman" w:hAnsi="Times New Roman" w:cs="Times New Roman"/>
          <w:bCs/>
          <w:sz w:val="24"/>
          <w:szCs w:val="24"/>
        </w:rPr>
        <w:t xml:space="preserve">Комитет по аудиту </w:t>
      </w:r>
      <w:r w:rsidRPr="00D56D65">
        <w:rPr>
          <w:rFonts w:ascii="Times New Roman" w:hAnsi="Times New Roman" w:cs="Times New Roman"/>
          <w:bCs/>
          <w:sz w:val="24"/>
          <w:szCs w:val="24"/>
        </w:rPr>
        <w:t>с</w:t>
      </w:r>
      <w:r w:rsidR="00EE368B" w:rsidRPr="00D56D65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Pr="00D56D65">
        <w:rPr>
          <w:rFonts w:ascii="Times New Roman" w:hAnsi="Times New Roman" w:cs="Times New Roman"/>
          <w:bCs/>
          <w:sz w:val="24"/>
          <w:szCs w:val="24"/>
        </w:rPr>
        <w:t>д</w:t>
      </w:r>
      <w:r w:rsidR="00EE368B" w:rsidRPr="00D56D65">
        <w:rPr>
          <w:rFonts w:ascii="Times New Roman" w:hAnsi="Times New Roman" w:cs="Times New Roman"/>
          <w:bCs/>
          <w:sz w:val="24"/>
          <w:szCs w:val="24"/>
        </w:rPr>
        <w:t xml:space="preserve">иректоров </w:t>
      </w:r>
      <w:r w:rsidRPr="00D56D65">
        <w:rPr>
          <w:rFonts w:ascii="Times New Roman" w:hAnsi="Times New Roman" w:cs="Times New Roman"/>
          <w:bCs/>
          <w:sz w:val="24"/>
          <w:szCs w:val="24"/>
        </w:rPr>
        <w:t xml:space="preserve">Общества </w:t>
      </w:r>
      <w:r w:rsidR="00EE368B" w:rsidRPr="00D56D65">
        <w:rPr>
          <w:rFonts w:ascii="Times New Roman" w:hAnsi="Times New Roman" w:cs="Times New Roman"/>
          <w:bCs/>
          <w:sz w:val="24"/>
          <w:szCs w:val="24"/>
        </w:rPr>
        <w:t>готовит предложения по совершенствованию системы управления рисками.</w:t>
      </w:r>
    </w:p>
    <w:p w:rsidR="00951FD9" w:rsidRPr="00D56D65" w:rsidRDefault="00DE416D" w:rsidP="00EE36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951FD9" w:rsidRPr="00D56D65">
        <w:rPr>
          <w:rFonts w:ascii="Times New Roman" w:hAnsi="Times New Roman" w:cs="Times New Roman"/>
          <w:bCs/>
          <w:sz w:val="24"/>
          <w:szCs w:val="24"/>
        </w:rPr>
        <w:t>Положение, а также любые изменения к нему утверждаются советом директоров Общества.</w:t>
      </w:r>
    </w:p>
    <w:p w:rsidR="00DE416D" w:rsidRPr="00D56D65" w:rsidRDefault="00DE416D" w:rsidP="00EE36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16D" w:rsidRPr="00D56D65" w:rsidRDefault="00DE416D" w:rsidP="00EE36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578" w:rsidRPr="00D56D65" w:rsidRDefault="00DE416D" w:rsidP="00D56D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6D65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E6578" w:rsidRPr="00D56D65" w:rsidRDefault="00DE6578" w:rsidP="00810B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E6578" w:rsidRPr="00D56D65" w:rsidSect="004359D5"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FE" w:rsidRDefault="003C3AFE" w:rsidP="00E41938">
      <w:pPr>
        <w:spacing w:after="0" w:line="240" w:lineRule="auto"/>
      </w:pPr>
      <w:r>
        <w:separator/>
      </w:r>
    </w:p>
  </w:endnote>
  <w:endnote w:type="continuationSeparator" w:id="0">
    <w:p w:rsidR="003C3AFE" w:rsidRDefault="003C3AFE" w:rsidP="00E4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FE" w:rsidRDefault="003C3AFE" w:rsidP="00E41938">
      <w:pPr>
        <w:spacing w:after="0" w:line="240" w:lineRule="auto"/>
      </w:pPr>
      <w:r>
        <w:separator/>
      </w:r>
    </w:p>
  </w:footnote>
  <w:footnote w:type="continuationSeparator" w:id="0">
    <w:p w:rsidR="003C3AFE" w:rsidRDefault="003C3AFE" w:rsidP="00E4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701306"/>
      <w:docPartObj>
        <w:docPartGallery w:val="Page Numbers (Top of Page)"/>
        <w:docPartUnique/>
      </w:docPartObj>
    </w:sdtPr>
    <w:sdtEndPr/>
    <w:sdtContent>
      <w:p w:rsidR="00E41938" w:rsidRDefault="00E419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65">
          <w:rPr>
            <w:noProof/>
          </w:rPr>
          <w:t>4</w:t>
        </w:r>
        <w:r>
          <w:fldChar w:fldCharType="end"/>
        </w:r>
      </w:p>
    </w:sdtContent>
  </w:sdt>
  <w:p w:rsidR="00E41938" w:rsidRDefault="00E419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69"/>
    <w:rsid w:val="00010330"/>
    <w:rsid w:val="000176C9"/>
    <w:rsid w:val="0002449F"/>
    <w:rsid w:val="000318C3"/>
    <w:rsid w:val="00043A1D"/>
    <w:rsid w:val="000651C8"/>
    <w:rsid w:val="00065940"/>
    <w:rsid w:val="000A5FB5"/>
    <w:rsid w:val="000B5F9B"/>
    <w:rsid w:val="000D20C2"/>
    <w:rsid w:val="000E5669"/>
    <w:rsid w:val="00113DD8"/>
    <w:rsid w:val="00124CC0"/>
    <w:rsid w:val="001425CD"/>
    <w:rsid w:val="0020346F"/>
    <w:rsid w:val="00264DE6"/>
    <w:rsid w:val="002A2187"/>
    <w:rsid w:val="002B6D8F"/>
    <w:rsid w:val="003378E1"/>
    <w:rsid w:val="00386EE5"/>
    <w:rsid w:val="003B02AE"/>
    <w:rsid w:val="003C3AFE"/>
    <w:rsid w:val="004359D5"/>
    <w:rsid w:val="00445028"/>
    <w:rsid w:val="00457C51"/>
    <w:rsid w:val="00482E3B"/>
    <w:rsid w:val="0049609F"/>
    <w:rsid w:val="004C70A2"/>
    <w:rsid w:val="00504DC6"/>
    <w:rsid w:val="00561A06"/>
    <w:rsid w:val="00581EE2"/>
    <w:rsid w:val="005F52D4"/>
    <w:rsid w:val="0060438A"/>
    <w:rsid w:val="0063322B"/>
    <w:rsid w:val="00642509"/>
    <w:rsid w:val="006905A3"/>
    <w:rsid w:val="006F50E8"/>
    <w:rsid w:val="007071F8"/>
    <w:rsid w:val="007920B4"/>
    <w:rsid w:val="007A4B06"/>
    <w:rsid w:val="007E19C0"/>
    <w:rsid w:val="00810B5A"/>
    <w:rsid w:val="00883D04"/>
    <w:rsid w:val="008A53B5"/>
    <w:rsid w:val="008C0D4B"/>
    <w:rsid w:val="008C4CD4"/>
    <w:rsid w:val="00946903"/>
    <w:rsid w:val="00947210"/>
    <w:rsid w:val="00951FD9"/>
    <w:rsid w:val="0097179C"/>
    <w:rsid w:val="009978AF"/>
    <w:rsid w:val="009B7780"/>
    <w:rsid w:val="009C2C02"/>
    <w:rsid w:val="009F05EA"/>
    <w:rsid w:val="009F5982"/>
    <w:rsid w:val="00A3255F"/>
    <w:rsid w:val="00A32C0E"/>
    <w:rsid w:val="00A57D53"/>
    <w:rsid w:val="00A96E92"/>
    <w:rsid w:val="00AD3BEA"/>
    <w:rsid w:val="00AE678A"/>
    <w:rsid w:val="00B463A9"/>
    <w:rsid w:val="00B7656B"/>
    <w:rsid w:val="00B82376"/>
    <w:rsid w:val="00BE68DA"/>
    <w:rsid w:val="00BF20A2"/>
    <w:rsid w:val="00C459BA"/>
    <w:rsid w:val="00C731D4"/>
    <w:rsid w:val="00CB3A82"/>
    <w:rsid w:val="00CF23D8"/>
    <w:rsid w:val="00D129AE"/>
    <w:rsid w:val="00D23A82"/>
    <w:rsid w:val="00D517C8"/>
    <w:rsid w:val="00D56D65"/>
    <w:rsid w:val="00D7329E"/>
    <w:rsid w:val="00DC17F0"/>
    <w:rsid w:val="00DE416D"/>
    <w:rsid w:val="00DE6578"/>
    <w:rsid w:val="00E140C5"/>
    <w:rsid w:val="00E21DA9"/>
    <w:rsid w:val="00E23B39"/>
    <w:rsid w:val="00E41938"/>
    <w:rsid w:val="00E54200"/>
    <w:rsid w:val="00EC3324"/>
    <w:rsid w:val="00EC44CC"/>
    <w:rsid w:val="00EE06CD"/>
    <w:rsid w:val="00EE368B"/>
    <w:rsid w:val="00EF1437"/>
    <w:rsid w:val="00F21FA2"/>
    <w:rsid w:val="00F6754B"/>
    <w:rsid w:val="00F95AD8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3D93"/>
  <w15:chartTrackingRefBased/>
  <w15:docId w15:val="{3D54BEE9-EBF3-4989-98AF-47A0C801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938"/>
  </w:style>
  <w:style w:type="paragraph" w:styleId="a5">
    <w:name w:val="footer"/>
    <w:basedOn w:val="a"/>
    <w:link w:val="a6"/>
    <w:uiPriority w:val="99"/>
    <w:unhideWhenUsed/>
    <w:rsid w:val="00E4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938"/>
  </w:style>
  <w:style w:type="paragraph" w:customStyle="1" w:styleId="ConsPlusNormal">
    <w:name w:val="ConsPlusNormal"/>
    <w:rsid w:val="009F05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9E45-9624-452E-B4C7-8EFE25AB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Красных Елена Марсовна</dc:creator>
  <cp:keywords/>
  <dc:description/>
  <cp:lastModifiedBy>Алексеева Наталья Николаевна</cp:lastModifiedBy>
  <cp:revision>34</cp:revision>
  <cp:lastPrinted>2023-12-05T04:03:00Z</cp:lastPrinted>
  <dcterms:created xsi:type="dcterms:W3CDTF">2023-11-28T01:22:00Z</dcterms:created>
  <dcterms:modified xsi:type="dcterms:W3CDTF">2023-12-27T05:34:00Z</dcterms:modified>
</cp:coreProperties>
</file>